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2021年</w:t>
      </w:r>
      <w:r>
        <w:rPr>
          <w:rFonts w:hint="eastAsia" w:ascii="方正小标宋_GBK" w:eastAsia="方正小标宋_GBK"/>
          <w:sz w:val="44"/>
          <w:szCs w:val="44"/>
          <w:lang w:val="en-US" w:eastAsia="zh-CN"/>
        </w:rPr>
        <w:t>深圳市</w:t>
      </w:r>
      <w:r>
        <w:rPr>
          <w:rFonts w:hint="eastAsia" w:ascii="方正小标宋_GBK" w:eastAsia="方正小标宋_GBK"/>
          <w:sz w:val="44"/>
          <w:szCs w:val="44"/>
        </w:rPr>
        <w:t>南山区</w:t>
      </w:r>
      <w:r>
        <w:rPr>
          <w:rFonts w:hint="eastAsia" w:ascii="方正小标宋_GBK" w:eastAsia="方正小标宋_GBK"/>
          <w:sz w:val="44"/>
          <w:szCs w:val="44"/>
          <w:lang w:val="en-US" w:eastAsia="zh-CN"/>
        </w:rPr>
        <w:t>蛇口育才教育集团</w:t>
      </w:r>
    </w:p>
    <w:p>
      <w:pPr>
        <w:spacing w:line="560" w:lineRule="exact"/>
        <w:jc w:val="center"/>
        <w:rPr>
          <w:rFonts w:ascii="方正小标宋_GBK" w:eastAsia="方正小标宋_GBK"/>
          <w:sz w:val="44"/>
          <w:szCs w:val="44"/>
        </w:rPr>
      </w:pPr>
      <w:r>
        <w:rPr>
          <w:rFonts w:hint="eastAsia" w:ascii="方正小标宋_GBK" w:eastAsia="方正小标宋_GBK"/>
          <w:sz w:val="44"/>
          <w:szCs w:val="44"/>
          <w:lang w:val="en-US" w:eastAsia="zh-CN"/>
        </w:rPr>
        <w:t>育才一小</w:t>
      </w:r>
      <w:r>
        <w:rPr>
          <w:rFonts w:hint="eastAsia" w:ascii="方正小标宋_GBK" w:eastAsia="方正小标宋_GBK"/>
          <w:sz w:val="44"/>
          <w:szCs w:val="44"/>
        </w:rPr>
        <w:t>部门预算</w:t>
      </w: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目录</w:t>
      </w:r>
    </w:p>
    <w:p>
      <w:pPr>
        <w:jc w:val="center"/>
        <w:textAlignment w:val="top"/>
      </w:pPr>
    </w:p>
    <w:p>
      <w:pPr>
        <w:spacing w:line="560" w:lineRule="exact"/>
        <w:ind w:firstLine="0" w:firstLineChars="0"/>
        <w:rPr>
          <w:rFonts w:hint="eastAsia" w:ascii="黑体" w:hAnsi="Calibri" w:eastAsia="黑体" w:cs="Times New Roman"/>
          <w:spacing w:val="-3"/>
          <w:kern w:val="21"/>
          <w:sz w:val="32"/>
          <w:szCs w:val="20"/>
        </w:rPr>
      </w:pPr>
      <w:r>
        <w:rPr>
          <w:rFonts w:hint="eastAsia" w:ascii="黑体" w:hAnsi="Calibri" w:eastAsia="黑体" w:cs="Times New Roman"/>
          <w:spacing w:val="-3"/>
          <w:kern w:val="21"/>
          <w:sz w:val="32"/>
          <w:szCs w:val="20"/>
        </w:rPr>
        <w:t>第一部分  单位概况</w:t>
      </w:r>
    </w:p>
    <w:p>
      <w:pPr>
        <w:spacing w:line="560" w:lineRule="exact"/>
        <w:ind w:firstLine="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一、主要职能</w:t>
      </w:r>
    </w:p>
    <w:p>
      <w:pPr>
        <w:spacing w:line="560" w:lineRule="exact"/>
        <w:ind w:firstLine="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二、</w:t>
      </w:r>
      <w:r>
        <w:rPr>
          <w:rFonts w:ascii="仿宋_GB2312" w:hAnsi="Calibri" w:eastAsia="仿宋_GB2312" w:cs="Times New Roman"/>
          <w:spacing w:val="-3"/>
          <w:kern w:val="21"/>
          <w:sz w:val="32"/>
          <w:szCs w:val="20"/>
        </w:rPr>
        <w:t>机构编制及交通工具情况</w:t>
      </w:r>
    </w:p>
    <w:p>
      <w:pPr>
        <w:spacing w:line="560" w:lineRule="exact"/>
        <w:ind w:firstLine="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三、</w:t>
      </w:r>
      <w:r>
        <w:rPr>
          <w:rFonts w:ascii="仿宋_GB2312" w:hAnsi="Calibri" w:eastAsia="仿宋_GB2312" w:cs="Times New Roman"/>
          <w:spacing w:val="-3"/>
          <w:kern w:val="21"/>
          <w:sz w:val="32"/>
          <w:szCs w:val="20"/>
        </w:rPr>
        <w:t>单位运行经费支出情况说明</w:t>
      </w:r>
    </w:p>
    <w:p>
      <w:pPr>
        <w:spacing w:line="560" w:lineRule="exact"/>
        <w:ind w:firstLine="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四、</w:t>
      </w:r>
      <w:r>
        <w:rPr>
          <w:rFonts w:ascii="仿宋_GB2312" w:hAnsi="Calibri" w:eastAsia="仿宋_GB2312" w:cs="Times New Roman"/>
          <w:spacing w:val="-3"/>
          <w:kern w:val="21"/>
          <w:sz w:val="32"/>
          <w:szCs w:val="20"/>
        </w:rPr>
        <w:t>政府采购预算情况说明</w:t>
      </w:r>
    </w:p>
    <w:p>
      <w:pPr>
        <w:spacing w:line="560" w:lineRule="exact"/>
        <w:ind w:firstLine="0" w:firstLineChars="0"/>
        <w:rPr>
          <w:rFonts w:ascii="仿宋_GB2312" w:hAnsi="Calibri" w:eastAsia="仿宋_GB2312" w:cs="Times New Roman"/>
          <w:spacing w:val="-3"/>
          <w:kern w:val="21"/>
          <w:sz w:val="32"/>
          <w:szCs w:val="20"/>
        </w:rPr>
      </w:pPr>
      <w:r>
        <w:rPr>
          <w:rFonts w:ascii="仿宋_GB2312" w:hAnsi="Calibri" w:eastAsia="仿宋_GB2312" w:cs="Times New Roman"/>
          <w:spacing w:val="-3"/>
          <w:kern w:val="21"/>
          <w:sz w:val="32"/>
          <w:szCs w:val="20"/>
        </w:rPr>
        <w:t>五、名词解释</w:t>
      </w:r>
    </w:p>
    <w:p>
      <w:pPr>
        <w:spacing w:line="560" w:lineRule="exact"/>
        <w:ind w:firstLine="0" w:firstLineChars="0"/>
        <w:rPr>
          <w:rFonts w:ascii="仿宋_GB2312" w:hAnsi="Calibri" w:eastAsia="仿宋_GB2312" w:cs="Times New Roman"/>
          <w:spacing w:val="-3"/>
          <w:kern w:val="21"/>
          <w:sz w:val="32"/>
          <w:szCs w:val="20"/>
        </w:rPr>
      </w:pPr>
      <w:r>
        <w:rPr>
          <w:rFonts w:ascii="仿宋_GB2312" w:hAnsi="Calibri" w:eastAsia="仿宋_GB2312" w:cs="Times New Roman"/>
          <w:spacing w:val="-3"/>
          <w:kern w:val="21"/>
          <w:sz w:val="32"/>
          <w:szCs w:val="20"/>
        </w:rPr>
        <w:t>六、20</w:t>
      </w:r>
      <w:r>
        <w:rPr>
          <w:rFonts w:hint="eastAsia" w:ascii="仿宋_GB2312" w:hAnsi="Calibri" w:eastAsia="仿宋_GB2312" w:cs="Times New Roman"/>
          <w:spacing w:val="-3"/>
          <w:kern w:val="21"/>
          <w:sz w:val="32"/>
          <w:szCs w:val="20"/>
        </w:rPr>
        <w:t>20</w:t>
      </w:r>
      <w:r>
        <w:rPr>
          <w:rFonts w:ascii="仿宋_GB2312" w:hAnsi="Calibri" w:eastAsia="仿宋_GB2312" w:cs="Times New Roman"/>
          <w:spacing w:val="-3"/>
          <w:kern w:val="21"/>
          <w:sz w:val="32"/>
          <w:szCs w:val="20"/>
        </w:rPr>
        <w:t>年绩效情况</w:t>
      </w:r>
    </w:p>
    <w:p>
      <w:pPr>
        <w:spacing w:line="560" w:lineRule="exact"/>
        <w:ind w:firstLine="0" w:firstLineChars="0"/>
        <w:rPr>
          <w:rFonts w:ascii="仿宋_GB2312" w:hAnsi="Calibri" w:eastAsia="仿宋_GB2312" w:cs="Times New Roman"/>
          <w:spacing w:val="-3"/>
          <w:kern w:val="21"/>
          <w:sz w:val="32"/>
          <w:szCs w:val="20"/>
        </w:rPr>
      </w:pPr>
      <w:r>
        <w:rPr>
          <w:rFonts w:ascii="仿宋_GB2312" w:hAnsi="Calibri" w:eastAsia="仿宋_GB2312" w:cs="Times New Roman"/>
          <w:spacing w:val="-3"/>
          <w:kern w:val="21"/>
          <w:sz w:val="32"/>
          <w:szCs w:val="20"/>
        </w:rPr>
        <w:t>七、20</w:t>
      </w:r>
      <w:r>
        <w:rPr>
          <w:rFonts w:hint="eastAsia" w:ascii="仿宋_GB2312" w:hAnsi="Calibri" w:eastAsia="仿宋_GB2312" w:cs="Times New Roman"/>
          <w:spacing w:val="-3"/>
          <w:kern w:val="21"/>
          <w:sz w:val="32"/>
          <w:szCs w:val="20"/>
        </w:rPr>
        <w:t>21</w:t>
      </w:r>
      <w:r>
        <w:rPr>
          <w:rFonts w:ascii="仿宋_GB2312" w:hAnsi="Calibri" w:eastAsia="仿宋_GB2312" w:cs="Times New Roman"/>
          <w:spacing w:val="-3"/>
          <w:kern w:val="21"/>
          <w:sz w:val="32"/>
          <w:szCs w:val="20"/>
        </w:rPr>
        <w:t>年主要目标</w:t>
      </w:r>
    </w:p>
    <w:p>
      <w:pPr>
        <w:widowControl w:val="0"/>
        <w:spacing w:after="120" w:line="590" w:lineRule="exact"/>
        <w:ind w:firstLine="314" w:firstLineChars="100"/>
        <w:jc w:val="both"/>
        <w:rPr>
          <w:rFonts w:hint="eastAsia" w:ascii="仿宋_GB2312" w:hAnsi="Calibri" w:eastAsia="仿宋_GB2312" w:cs="Times New Roman"/>
          <w:spacing w:val="-3"/>
          <w:kern w:val="21"/>
          <w:sz w:val="32"/>
          <w:lang w:val="en-US" w:eastAsia="zh-CN" w:bidi="ar-SA"/>
        </w:rPr>
      </w:pPr>
    </w:p>
    <w:p>
      <w:pPr>
        <w:spacing w:line="560" w:lineRule="exact"/>
        <w:ind w:firstLine="0" w:firstLineChars="0"/>
        <w:rPr>
          <w:rFonts w:hint="eastAsia" w:ascii="黑体" w:hAnsi="Calibri" w:eastAsia="黑体" w:cs="Times New Roman"/>
          <w:spacing w:val="-3"/>
          <w:kern w:val="21"/>
          <w:sz w:val="32"/>
          <w:szCs w:val="20"/>
        </w:rPr>
      </w:pPr>
      <w:r>
        <w:rPr>
          <w:rFonts w:hint="eastAsia" w:ascii="黑体" w:hAnsi="Calibri" w:eastAsia="黑体" w:cs="Times New Roman"/>
          <w:spacing w:val="-3"/>
          <w:kern w:val="21"/>
          <w:sz w:val="32"/>
          <w:szCs w:val="20"/>
        </w:rPr>
        <w:t>第二部分  2021年部门预算收支总体情况</w:t>
      </w:r>
    </w:p>
    <w:p>
      <w:pPr>
        <w:spacing w:line="560" w:lineRule="exact"/>
        <w:ind w:firstLine="0" w:firstLineChars="0"/>
        <w:rPr>
          <w:rFonts w:ascii="仿宋_GB2312" w:hAnsi="Calibri" w:eastAsia="仿宋_GB2312" w:cs="Times New Roman"/>
          <w:spacing w:val="-3"/>
          <w:kern w:val="21"/>
          <w:sz w:val="32"/>
          <w:szCs w:val="20"/>
        </w:rPr>
      </w:pPr>
      <w:r>
        <w:rPr>
          <w:rFonts w:ascii="仿宋_GB2312" w:hAnsi="Calibri" w:eastAsia="仿宋_GB2312" w:cs="Times New Roman"/>
          <w:spacing w:val="-3"/>
          <w:kern w:val="21"/>
          <w:sz w:val="32"/>
          <w:szCs w:val="20"/>
        </w:rPr>
        <w:t>一、</w:t>
      </w:r>
      <w:r>
        <w:rPr>
          <w:rFonts w:hint="eastAsia" w:ascii="仿宋_GB2312" w:hAnsi="Calibri" w:eastAsia="仿宋_GB2312" w:cs="Times New Roman"/>
          <w:spacing w:val="-3"/>
          <w:kern w:val="21"/>
          <w:sz w:val="32"/>
          <w:szCs w:val="20"/>
        </w:rPr>
        <w:t>部门预算收支总体情况</w:t>
      </w:r>
    </w:p>
    <w:p>
      <w:pPr>
        <w:spacing w:line="560" w:lineRule="exact"/>
        <w:ind w:firstLine="0" w:firstLineChars="0"/>
        <w:rPr>
          <w:rFonts w:hint="eastAsia" w:ascii="仿宋_GB2312" w:hAnsi="Calibri" w:eastAsia="仿宋_GB2312" w:cs="Times New Roman"/>
          <w:spacing w:val="-3"/>
          <w:kern w:val="21"/>
          <w:sz w:val="32"/>
          <w:szCs w:val="20"/>
        </w:rPr>
      </w:pPr>
      <w:r>
        <w:rPr>
          <w:rFonts w:ascii="仿宋_GB2312" w:hAnsi="Calibri" w:eastAsia="仿宋_GB2312" w:cs="Times New Roman"/>
          <w:spacing w:val="-3"/>
          <w:kern w:val="21"/>
          <w:sz w:val="32"/>
          <w:szCs w:val="20"/>
        </w:rPr>
        <w:t>二、</w:t>
      </w:r>
      <w:r>
        <w:rPr>
          <w:rFonts w:hint="eastAsia" w:ascii="仿宋_GB2312" w:hAnsi="Calibri" w:eastAsia="仿宋_GB2312" w:cs="Times New Roman"/>
          <w:spacing w:val="-3"/>
          <w:kern w:val="21"/>
          <w:sz w:val="32"/>
          <w:szCs w:val="20"/>
        </w:rPr>
        <w:t>部门预算支出具体情况</w:t>
      </w:r>
    </w:p>
    <w:p>
      <w:pPr>
        <w:spacing w:line="560" w:lineRule="exact"/>
        <w:ind w:firstLine="0" w:firstLineChars="0"/>
        <w:rPr>
          <w:rFonts w:ascii="仿宋_GB2312" w:hAnsi="Calibri" w:eastAsia="仿宋_GB2312" w:cs="Times New Roman"/>
          <w:spacing w:val="-3"/>
          <w:kern w:val="21"/>
          <w:sz w:val="32"/>
          <w:szCs w:val="20"/>
        </w:rPr>
      </w:pPr>
      <w:r>
        <w:rPr>
          <w:rFonts w:ascii="仿宋_GB2312" w:hAnsi="Calibri" w:eastAsia="仿宋_GB2312" w:cs="Times New Roman"/>
          <w:spacing w:val="-3"/>
          <w:kern w:val="21"/>
          <w:sz w:val="32"/>
          <w:szCs w:val="20"/>
        </w:rPr>
        <w:t>三、“三公”经费预算安排情况及经费增减变化原因</w:t>
      </w:r>
    </w:p>
    <w:p>
      <w:pPr>
        <w:widowControl w:val="0"/>
        <w:spacing w:after="120" w:line="590" w:lineRule="exact"/>
        <w:ind w:firstLine="314" w:firstLineChars="100"/>
        <w:jc w:val="both"/>
        <w:rPr>
          <w:rFonts w:ascii="仿宋_GB2312" w:hAnsi="Calibri" w:eastAsia="仿宋_GB2312" w:cs="Times New Roman"/>
          <w:spacing w:val="-3"/>
          <w:kern w:val="21"/>
          <w:sz w:val="32"/>
          <w:lang w:val="en-US" w:eastAsia="zh-CN" w:bidi="ar-SA"/>
        </w:rPr>
      </w:pPr>
    </w:p>
    <w:p>
      <w:pPr>
        <w:spacing w:line="420" w:lineRule="exact"/>
        <w:ind w:firstLine="0" w:firstLineChars="0"/>
        <w:jc w:val="left"/>
        <w:rPr>
          <w:rFonts w:ascii="黑体" w:hAnsi="Calibri" w:eastAsia="黑体" w:cs="Times New Roman"/>
          <w:spacing w:val="-3"/>
          <w:kern w:val="21"/>
          <w:sz w:val="32"/>
          <w:szCs w:val="20"/>
        </w:rPr>
      </w:pPr>
      <w:r>
        <w:rPr>
          <w:rFonts w:hint="eastAsia" w:ascii="黑体" w:hAnsi="Calibri" w:eastAsia="黑体" w:cs="Times New Roman"/>
          <w:spacing w:val="-3"/>
          <w:kern w:val="21"/>
          <w:sz w:val="32"/>
          <w:szCs w:val="20"/>
        </w:rPr>
        <w:t xml:space="preserve">第三部分  其他需要说明情况   </w:t>
      </w:r>
    </w:p>
    <w:p>
      <w:pPr>
        <w:numPr>
          <w:ilvl w:val="0"/>
          <w:numId w:val="1"/>
        </w:numPr>
        <w:spacing w:line="560" w:lineRule="exact"/>
        <w:ind w:left="720" w:hanging="72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国有资产占有使用情况</w:t>
      </w:r>
    </w:p>
    <w:p>
      <w:pPr>
        <w:numPr>
          <w:ilvl w:val="0"/>
          <w:numId w:val="1"/>
        </w:numPr>
        <w:spacing w:line="560" w:lineRule="exact"/>
        <w:ind w:left="720" w:hanging="72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部门预算绩效管理情况说明</w:t>
      </w:r>
    </w:p>
    <w:p>
      <w:pPr>
        <w:numPr>
          <w:ilvl w:val="0"/>
          <w:numId w:val="1"/>
        </w:numPr>
        <w:spacing w:line="560" w:lineRule="exact"/>
        <w:ind w:left="720" w:hanging="720" w:firstLineChars="0"/>
        <w:rPr>
          <w:rFonts w:hint="eastAsia" w:ascii="仿宋_GB2312" w:hAnsi="Calibri" w:eastAsia="仿宋_GB2312" w:cs="Times New Roman"/>
          <w:spacing w:val="-3"/>
          <w:kern w:val="21"/>
          <w:sz w:val="32"/>
          <w:szCs w:val="20"/>
        </w:rPr>
      </w:pPr>
      <w:r>
        <w:rPr>
          <w:rFonts w:hint="eastAsia" w:ascii="仿宋_GB2312" w:hAnsi="Calibri" w:eastAsia="仿宋_GB2312" w:cs="Times New Roman"/>
          <w:spacing w:val="-3"/>
          <w:kern w:val="21"/>
          <w:sz w:val="32"/>
          <w:szCs w:val="20"/>
        </w:rPr>
        <w:t>2021年部门预算附录表</w:t>
      </w:r>
    </w:p>
    <w:p>
      <w:pPr>
        <w:jc w:val="center"/>
        <w:textAlignment w:val="top"/>
      </w:pPr>
    </w:p>
    <w:p>
      <w:pPr>
        <w:ind w:firstLine="600"/>
        <w:jc w:val="center"/>
      </w:pPr>
      <w:r>
        <w:rPr>
          <w:rFonts w:ascii="仿宋_GB2312" w:hAnsi="仿宋_GB2312" w:eastAsia="仿宋_GB2312" w:cs="仿宋_GB2312"/>
          <w:position w:val="10"/>
          <w:sz w:val="32"/>
        </w:rPr>
        <w:br w:type="textWrapping"/>
      </w:r>
      <w:r>
        <w:rPr>
          <w:rFonts w:ascii="仿宋_GB2312" w:hAnsi="仿宋_GB2312" w:eastAsia="仿宋_GB2312" w:cs="仿宋_GB2312"/>
          <w:position w:val="10"/>
          <w:sz w:val="32"/>
        </w:rPr>
        <w:t xml:space="preserve">    </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pPr>
      <w:r>
        <w:rPr>
          <w:rFonts w:hint="eastAsia" w:ascii="仿宋_GB2312" w:hAnsi="宋体" w:eastAsia="仿宋_GB2312" w:cs="Times New Roman"/>
          <w:b/>
          <w:bCs/>
          <w:spacing w:val="-3"/>
          <w:kern w:val="21"/>
          <w:sz w:val="32"/>
          <w:szCs w:val="32"/>
          <w:highlight w:val="none"/>
          <w:lang w:val="en-US" w:eastAsia="zh-CN" w:bidi="ar-SA"/>
        </w:rPr>
        <w:t>第一部分    部门概况</w:t>
      </w:r>
    </w:p>
    <w:p>
      <w:pPr>
        <w:pStyle w:val="4"/>
        <w:spacing w:line="360" w:lineRule="exact"/>
        <w:ind w:firstLine="600"/>
      </w:pPr>
      <w:r>
        <w:rPr>
          <w:rFonts w:ascii="仿宋_GB2312" w:hAnsi="仿宋_GB2312" w:eastAsia="仿宋_GB2312" w:cs="仿宋_GB2312"/>
          <w:b/>
          <w:sz w:val="32"/>
        </w:rPr>
        <w:t>一、主要职能</w:t>
      </w:r>
    </w:p>
    <w:p>
      <w:pPr>
        <w:spacing w:line="360" w:lineRule="auto"/>
        <w:ind w:firstLine="600"/>
      </w:pPr>
      <w:r>
        <w:rPr>
          <w:rFonts w:ascii="仿宋_GB2312" w:hAnsi="仿宋_GB2312" w:eastAsia="仿宋_GB2312" w:cs="仿宋_GB2312"/>
          <w:sz w:val="32"/>
        </w:rPr>
        <w:t>深圳市</w:t>
      </w:r>
      <w:r>
        <w:rPr>
          <w:rFonts w:hint="eastAsia" w:ascii="仿宋_GB2312" w:hAnsi="仿宋_GB2312" w:eastAsia="仿宋_GB2312" w:cs="仿宋_GB2312"/>
          <w:sz w:val="32"/>
          <w:lang w:val="en-US" w:eastAsia="zh-CN"/>
        </w:rPr>
        <w:t>南山区</w:t>
      </w:r>
      <w:r>
        <w:rPr>
          <w:rFonts w:ascii="仿宋_GB2312" w:hAnsi="仿宋_GB2312" w:eastAsia="仿宋_GB2312" w:cs="仿宋_GB2312"/>
          <w:sz w:val="32"/>
        </w:rPr>
        <w:t>蛇口育才教育集团育才一小是一所省一级学校，担负着小学教学教育工作。</w:t>
      </w:r>
    </w:p>
    <w:p>
      <w:pPr>
        <w:pStyle w:val="4"/>
        <w:ind w:firstLine="600"/>
        <w:rPr>
          <w:rFonts w:ascii="仿宋_GB2312" w:hAnsi="仿宋_GB2312" w:eastAsia="仿宋_GB2312" w:cs="仿宋_GB2312"/>
          <w:b/>
          <w:sz w:val="32"/>
        </w:rPr>
      </w:pPr>
      <w:r>
        <w:rPr>
          <w:rFonts w:ascii="仿宋_GB2312" w:hAnsi="仿宋_GB2312" w:eastAsia="仿宋_GB2312" w:cs="仿宋_GB2312"/>
          <w:b/>
          <w:sz w:val="32"/>
        </w:rPr>
        <w:t>二、机构编制及交通工具情况</w:t>
      </w:r>
    </w:p>
    <w:p>
      <w:pPr>
        <w:spacing w:line="360" w:lineRule="auto"/>
        <w:ind w:firstLine="600"/>
      </w:pPr>
      <w:r>
        <w:rPr>
          <w:rFonts w:ascii="仿宋_GB2312" w:hAnsi="仿宋_GB2312" w:eastAsia="仿宋_GB2312" w:cs="仿宋_GB2312"/>
          <w:sz w:val="32"/>
        </w:rPr>
        <w:t>深圳市</w:t>
      </w:r>
      <w:r>
        <w:rPr>
          <w:rFonts w:hint="eastAsia" w:ascii="仿宋_GB2312" w:hAnsi="仿宋_GB2312" w:eastAsia="仿宋_GB2312" w:cs="仿宋_GB2312"/>
          <w:sz w:val="32"/>
          <w:lang w:val="en-US" w:eastAsia="zh-CN"/>
        </w:rPr>
        <w:t>南山区</w:t>
      </w:r>
      <w:r>
        <w:rPr>
          <w:rFonts w:ascii="仿宋_GB2312" w:hAnsi="仿宋_GB2312" w:eastAsia="仿宋_GB2312" w:cs="仿宋_GB2312"/>
          <w:sz w:val="32"/>
        </w:rPr>
        <w:t>蛇口育才教育集团育才一小</w:t>
      </w:r>
      <w:r>
        <w:rPr>
          <w:rFonts w:hint="eastAsia" w:ascii="仿宋" w:hAnsi="仿宋" w:eastAsia="仿宋" w:cs="仿宋"/>
          <w:sz w:val="32"/>
          <w:szCs w:val="32"/>
          <w:highlight w:val="none"/>
          <w:lang w:val="en-US" w:eastAsia="zh-CN"/>
        </w:rPr>
        <w:t>行政编制总数0人，实有在编人数0人；事业编制总数132人，实有在编人数130人；离休0人，退休48人。实有车辆0辆</w:t>
      </w:r>
      <w:r>
        <w:rPr>
          <w:rFonts w:ascii="仿宋_GB2312" w:hAnsi="仿宋_GB2312" w:eastAsia="仿宋_GB2312" w:cs="仿宋_GB2312"/>
          <w:sz w:val="32"/>
        </w:rPr>
        <w:t>。</w:t>
      </w:r>
    </w:p>
    <w:p>
      <w:pPr>
        <w:pStyle w:val="4"/>
        <w:ind w:firstLine="600"/>
        <w:rPr>
          <w:rFonts w:ascii="仿宋_GB2312" w:hAnsi="仿宋_GB2312" w:eastAsia="仿宋_GB2312" w:cs="仿宋_GB2312"/>
          <w:b/>
          <w:sz w:val="32"/>
        </w:rPr>
      </w:pPr>
      <w:r>
        <w:rPr>
          <w:rFonts w:ascii="仿宋_GB2312" w:hAnsi="仿宋_GB2312" w:eastAsia="仿宋_GB2312" w:cs="仿宋_GB2312"/>
          <w:b/>
          <w:sz w:val="32"/>
        </w:rPr>
        <w:t>三、单位运行经费支出情况说明</w:t>
      </w:r>
    </w:p>
    <w:p>
      <w:pPr>
        <w:pStyle w:val="4"/>
        <w:ind w:firstLine="600"/>
        <w:jc w:val="both"/>
        <w:rPr>
          <w:rFonts w:ascii="仿宋_GB2312" w:hAnsi="仿宋_GB2312" w:eastAsia="仿宋_GB2312" w:cs="仿宋_GB2312"/>
          <w:sz w:val="32"/>
        </w:rPr>
      </w:pPr>
      <w:r>
        <w:rPr>
          <w:rFonts w:hint="eastAsia" w:ascii="仿宋_GB2312" w:hAnsi="仿宋_GB2312" w:eastAsia="仿宋_GB2312" w:cs="仿宋_GB2312"/>
          <w:sz w:val="32"/>
        </w:rPr>
        <w:t>2021年本部门运行经费预算总额</w:t>
      </w:r>
      <w:r>
        <w:rPr>
          <w:rFonts w:ascii="仿宋_GB2312" w:hAnsi="仿宋_GB2312" w:eastAsia="仿宋_GB2312" w:cs="仿宋_GB2312"/>
          <w:sz w:val="32"/>
        </w:rPr>
        <w:t>301.76</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较上年减少</w:t>
      </w:r>
      <w:r>
        <w:rPr>
          <w:rFonts w:hint="eastAsia" w:ascii="仿宋_GB2312" w:hAnsi="仿宋_GB2312" w:eastAsia="仿宋_GB2312" w:cs="仿宋_GB2312"/>
          <w:sz w:val="32"/>
          <w:lang w:val="en-US" w:eastAsia="zh-CN"/>
        </w:rPr>
        <w:t>3.57万元，</w:t>
      </w:r>
      <w:r>
        <w:rPr>
          <w:rFonts w:hint="eastAsia" w:ascii="仿宋_GB2312" w:hAnsi="仿宋_GB2312" w:eastAsia="仿宋_GB2312" w:cs="仿宋_GB2312"/>
          <w:sz w:val="32"/>
        </w:rPr>
        <w:t>运行经费主要包括办公费50万元、印刷费6万元、水费10万元、电费57万元、邮电费5万元、租赁费0.3万元、培训费17.16万元、劳务费18万元、工会经费36.03万元、福利费7.92万元、其他商品和服务支出94.35万元。</w:t>
      </w:r>
    </w:p>
    <w:p>
      <w:pPr>
        <w:pStyle w:val="4"/>
        <w:ind w:firstLine="600"/>
      </w:pPr>
      <w:r>
        <w:rPr>
          <w:rFonts w:ascii="仿宋_GB2312" w:hAnsi="仿宋_GB2312" w:eastAsia="仿宋_GB2312" w:cs="仿宋_GB2312"/>
          <w:b/>
          <w:sz w:val="32"/>
        </w:rPr>
        <w:t>四、政府采购预算情况说明</w:t>
      </w:r>
    </w:p>
    <w:p>
      <w:pPr>
        <w:spacing w:line="360" w:lineRule="auto"/>
        <w:ind w:firstLine="600"/>
      </w:pPr>
      <w:r>
        <w:rPr>
          <w:rFonts w:ascii="仿宋_GB2312" w:hAnsi="仿宋_GB2312" w:eastAsia="仿宋_GB2312" w:cs="仿宋_GB2312"/>
          <w:sz w:val="32"/>
        </w:rPr>
        <w:t>深圳市</w:t>
      </w:r>
      <w:r>
        <w:rPr>
          <w:rFonts w:hint="eastAsia" w:ascii="仿宋_GB2312" w:hAnsi="仿宋_GB2312" w:eastAsia="仿宋_GB2312" w:cs="仿宋_GB2312"/>
          <w:sz w:val="32"/>
          <w:lang w:val="en-US" w:eastAsia="zh-CN"/>
        </w:rPr>
        <w:t>南山区</w:t>
      </w:r>
      <w:r>
        <w:rPr>
          <w:rFonts w:ascii="仿宋_GB2312" w:hAnsi="仿宋_GB2312" w:eastAsia="仿宋_GB2312" w:cs="仿宋_GB2312"/>
          <w:sz w:val="32"/>
        </w:rPr>
        <w:t>蛇口育才教育集团育才一小</w:t>
      </w:r>
      <w:r>
        <w:rPr>
          <w:rFonts w:hint="eastAsia" w:ascii="仿宋_GB2312" w:hAnsi="仿宋_GB2312" w:eastAsia="仿宋_GB2312" w:cs="仿宋_GB2312"/>
          <w:sz w:val="32"/>
          <w:lang w:val="en-US" w:eastAsia="zh-CN"/>
        </w:rPr>
        <w:t>2021年政府采购预算总数</w:t>
      </w:r>
      <w:r>
        <w:rPr>
          <w:rFonts w:ascii="仿宋_GB2312" w:hAnsi="仿宋_GB2312" w:eastAsia="仿宋_GB2312" w:cs="仿宋_GB2312"/>
          <w:sz w:val="32"/>
        </w:rPr>
        <w:t>808.62</w:t>
      </w:r>
      <w:r>
        <w:rPr>
          <w:rFonts w:hint="eastAsia" w:ascii="仿宋_GB2312" w:hAnsi="仿宋_GB2312" w:eastAsia="仿宋_GB2312" w:cs="仿宋_GB2312"/>
          <w:sz w:val="32"/>
          <w:lang w:val="en-US" w:eastAsia="zh-CN"/>
        </w:rPr>
        <w:t>万元，较上年减少161.53万元，其中：</w:t>
      </w:r>
      <w:r>
        <w:rPr>
          <w:rFonts w:ascii="仿宋_GB2312" w:hAnsi="仿宋_GB2312" w:eastAsia="仿宋_GB2312" w:cs="仿宋_GB2312"/>
          <w:sz w:val="32"/>
        </w:rPr>
        <w:t>政府采购货物预算164.30万元</w:t>
      </w:r>
      <w:r>
        <w:rPr>
          <w:rFonts w:hint="eastAsia" w:ascii="仿宋_GB2312" w:hAnsi="仿宋_GB2312" w:eastAsia="仿宋_GB2312" w:cs="仿宋_GB2312"/>
          <w:sz w:val="32"/>
        </w:rPr>
        <w:t>、</w:t>
      </w:r>
      <w:r>
        <w:rPr>
          <w:rFonts w:ascii="仿宋_GB2312" w:hAnsi="仿宋_GB2312" w:eastAsia="仿宋_GB2312" w:cs="仿宋_GB2312"/>
          <w:sz w:val="32"/>
        </w:rPr>
        <w:t>政府采购</w:t>
      </w:r>
      <w:r>
        <w:rPr>
          <w:rFonts w:hint="eastAsia" w:ascii="仿宋_GB2312" w:hAnsi="仿宋_GB2312" w:eastAsia="仿宋_GB2312" w:cs="仿宋_GB2312"/>
          <w:sz w:val="32"/>
        </w:rPr>
        <w:t>工程</w:t>
      </w:r>
      <w:r>
        <w:rPr>
          <w:rFonts w:ascii="仿宋_GB2312" w:hAnsi="仿宋_GB2312" w:eastAsia="仿宋_GB2312" w:cs="仿宋_GB2312"/>
          <w:sz w:val="32"/>
        </w:rPr>
        <w:t>预算45万元</w:t>
      </w:r>
      <w:r>
        <w:rPr>
          <w:rFonts w:hint="eastAsia" w:ascii="仿宋_GB2312" w:hAnsi="仿宋_GB2312" w:eastAsia="仿宋_GB2312" w:cs="仿宋_GB2312"/>
          <w:sz w:val="32"/>
          <w:lang w:eastAsia="zh-CN"/>
        </w:rPr>
        <w:t>（较上年增加</w:t>
      </w:r>
      <w:r>
        <w:rPr>
          <w:rFonts w:hint="eastAsia" w:ascii="仿宋_GB2312" w:hAnsi="仿宋_GB2312" w:eastAsia="仿宋_GB2312" w:cs="仿宋_GB2312"/>
          <w:sz w:val="32"/>
          <w:lang w:val="en-US" w:eastAsia="zh-CN"/>
        </w:rPr>
        <w:t>45万元）</w:t>
      </w:r>
      <w:r>
        <w:rPr>
          <w:rFonts w:hint="eastAsia" w:ascii="仿宋_GB2312" w:hAnsi="仿宋_GB2312" w:eastAsia="仿宋_GB2312" w:cs="仿宋_GB2312"/>
          <w:sz w:val="32"/>
        </w:rPr>
        <w:t>、</w:t>
      </w:r>
      <w:r>
        <w:rPr>
          <w:rFonts w:ascii="仿宋_GB2312" w:hAnsi="仿宋_GB2312" w:eastAsia="仿宋_GB2312" w:cs="仿宋_GB2312"/>
          <w:sz w:val="32"/>
        </w:rPr>
        <w:t>政府采购</w:t>
      </w:r>
      <w:r>
        <w:rPr>
          <w:rFonts w:hint="eastAsia" w:ascii="仿宋_GB2312" w:hAnsi="仿宋_GB2312" w:eastAsia="仿宋_GB2312" w:cs="仿宋_GB2312"/>
          <w:sz w:val="32"/>
        </w:rPr>
        <w:t>服务</w:t>
      </w:r>
      <w:r>
        <w:rPr>
          <w:rFonts w:ascii="仿宋_GB2312" w:hAnsi="仿宋_GB2312" w:eastAsia="仿宋_GB2312" w:cs="仿宋_GB2312"/>
          <w:sz w:val="32"/>
        </w:rPr>
        <w:t>预算599.32万元</w:t>
      </w:r>
      <w:r>
        <w:rPr>
          <w:rFonts w:hint="eastAsia" w:ascii="仿宋_GB2312" w:hAnsi="仿宋_GB2312" w:eastAsia="仿宋_GB2312" w:cs="仿宋_GB2312"/>
          <w:sz w:val="32"/>
          <w:lang w:val="en-US" w:eastAsia="zh-CN"/>
        </w:rPr>
        <w:t>。</w:t>
      </w:r>
    </w:p>
    <w:p>
      <w:pPr>
        <w:pStyle w:val="4"/>
        <w:ind w:firstLine="600"/>
      </w:pPr>
      <w:r>
        <w:rPr>
          <w:rFonts w:ascii="仿宋_GB2312" w:hAnsi="仿宋_GB2312" w:eastAsia="仿宋_GB2312" w:cs="仿宋_GB2312"/>
          <w:b/>
          <w:sz w:val="32"/>
        </w:rPr>
        <w:t>五、名词解释</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ascii="仿宋_GB2312" w:hAnsi="仿宋_GB2312" w:eastAsia="仿宋_GB2312" w:cs="仿宋_GB2312"/>
          <w:sz w:val="32"/>
        </w:rPr>
        <w:t>财政拨款收入：指财政当年拨付的资金。</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lang w:eastAsia="zh-CN"/>
        </w:rPr>
        <w:t>）</w:t>
      </w:r>
      <w:r>
        <w:rPr>
          <w:rFonts w:ascii="仿宋_GB2312" w:hAnsi="仿宋_GB2312" w:eastAsia="仿宋_GB2312" w:cs="仿宋_GB2312"/>
          <w:sz w:val="32"/>
        </w:rPr>
        <w:t>其他收入：指预算单位在“财政拨款收入”、“事业收入”、“经营收入”之外取得的收入。主要是按规定使用的上级财政补助和历年政府采购结转经费。</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lang w:eastAsia="zh-CN"/>
        </w:rPr>
        <w:t>）</w:t>
      </w:r>
      <w:r>
        <w:rPr>
          <w:rFonts w:ascii="仿宋_GB2312" w:hAnsi="仿宋_GB2312" w:eastAsia="仿宋_GB2312" w:cs="仿宋_GB2312"/>
          <w:sz w:val="32"/>
        </w:rPr>
        <w:t>年初结转和结余：指以前年度尚未完成、结转到本年仍按原规定用途继续使用的资金，或项目已完成等产生的结余资金。</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四</w:t>
      </w:r>
      <w:r>
        <w:rPr>
          <w:rFonts w:hint="eastAsia" w:ascii="仿宋_GB2312" w:hAnsi="仿宋_GB2312" w:eastAsia="仿宋_GB2312" w:cs="仿宋_GB2312"/>
          <w:sz w:val="32"/>
          <w:lang w:eastAsia="zh-CN"/>
        </w:rPr>
        <w:t>）</w:t>
      </w:r>
      <w:r>
        <w:rPr>
          <w:rFonts w:ascii="仿宋_GB2312" w:hAnsi="仿宋_GB2312" w:eastAsia="仿宋_GB2312" w:cs="仿宋_GB2312"/>
          <w:sz w:val="32"/>
        </w:rPr>
        <w:t>年末结转和结余：本年度或以前年度预算安排、因客观条件发生变化无法按原计划实施，需要延迟到以后年度按有关规定继续使用的资金。</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lang w:eastAsia="zh-CN"/>
        </w:rPr>
        <w:t>）</w:t>
      </w:r>
      <w:r>
        <w:rPr>
          <w:rFonts w:ascii="仿宋_GB2312" w:hAnsi="仿宋_GB2312" w:eastAsia="仿宋_GB2312" w:cs="仿宋_GB2312"/>
          <w:sz w:val="32"/>
        </w:rPr>
        <w:t>基本支出：指为保障机构正常运转、完成日常工作任务而发生的人员经费（包括基本工资、津贴补贴等）和公用支出（包括办公费、邮电费、差旅费及印刷费等）。</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六</w:t>
      </w:r>
      <w:r>
        <w:rPr>
          <w:rFonts w:hint="eastAsia" w:ascii="仿宋_GB2312" w:hAnsi="仿宋_GB2312" w:eastAsia="仿宋_GB2312" w:cs="仿宋_GB2312"/>
          <w:sz w:val="32"/>
          <w:lang w:eastAsia="zh-CN"/>
        </w:rPr>
        <w:t>）</w:t>
      </w:r>
      <w:r>
        <w:rPr>
          <w:rFonts w:ascii="仿宋_GB2312" w:hAnsi="仿宋_GB2312" w:eastAsia="仿宋_GB2312" w:cs="仿宋_GB2312"/>
          <w:sz w:val="32"/>
        </w:rPr>
        <w:t>项目支出：指在基本支出之外为完成特定行政任务和事业发展目标所发生的支出。</w:t>
      </w:r>
    </w:p>
    <w:p>
      <w:pPr>
        <w:spacing w:line="360" w:lineRule="auto"/>
        <w:ind w:firstLine="600"/>
        <w:rPr>
          <w:rFonts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七</w:t>
      </w:r>
      <w:r>
        <w:rPr>
          <w:rFonts w:hint="eastAsia" w:ascii="仿宋_GB2312" w:hAnsi="仿宋_GB2312" w:eastAsia="仿宋_GB2312" w:cs="仿宋_GB2312"/>
          <w:sz w:val="32"/>
          <w:lang w:eastAsia="zh-CN"/>
        </w:rPr>
        <w:t>）</w:t>
      </w:r>
      <w:r>
        <w:rPr>
          <w:rFonts w:ascii="仿宋_GB2312" w:hAnsi="仿宋_GB2312" w:eastAsia="仿宋_GB2312" w:cs="仿宋_GB2312"/>
          <w:sz w:val="32"/>
        </w:rPr>
        <w:t>三公经费：财政拨款安排的因公出国（境）费、公务用车购置及运行费和公务接待费。其中，因公出国（境）费反映单位公务出国（境）的国际旅费、国外城市间交通费、住宿费、伙食费及培训费等支出；公务用车购置及运行费反映单位公务用车车辆购置支出（含车辆购置税）及租用费、燃料费、维修费、保险费、过桥过路费等支出；公务接待费反映单位按规定开支的各类公务接待支出。</w:t>
      </w:r>
    </w:p>
    <w:p>
      <w:pPr>
        <w:spacing w:line="360" w:lineRule="auto"/>
        <w:ind w:firstLine="600"/>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八</w:t>
      </w:r>
      <w:r>
        <w:rPr>
          <w:rFonts w:hint="eastAsia" w:ascii="仿宋_GB2312" w:hAnsi="仿宋_GB2312" w:eastAsia="仿宋_GB2312" w:cs="仿宋_GB2312"/>
          <w:sz w:val="32"/>
          <w:lang w:eastAsia="zh-CN"/>
        </w:rPr>
        <w:t>）</w:t>
      </w:r>
      <w:r>
        <w:rPr>
          <w:rFonts w:ascii="仿宋_GB2312" w:hAnsi="仿宋_GB2312" w:eastAsia="仿宋_GB2312" w:cs="仿宋_GB2312"/>
          <w:sz w:val="32"/>
        </w:rPr>
        <w:t>事业单位运行经费：事业单位一般公共预算财政拨款基本支出中的公用支出，包括办公费、邮电费、差旅费及印刷费等。</w:t>
      </w:r>
    </w:p>
    <w:p>
      <w:pPr>
        <w:pStyle w:val="4"/>
        <w:ind w:firstLine="600"/>
      </w:pPr>
      <w:r>
        <w:rPr>
          <w:rFonts w:ascii="仿宋_GB2312" w:hAnsi="仿宋_GB2312" w:eastAsia="仿宋_GB2312" w:cs="仿宋_GB2312"/>
          <w:b/>
          <w:sz w:val="32"/>
        </w:rPr>
        <w:t>六、2020年绩效情况</w:t>
      </w:r>
    </w:p>
    <w:p>
      <w:pPr>
        <w:spacing w:line="360" w:lineRule="auto"/>
        <w:ind w:firstLine="600"/>
      </w:pPr>
      <w:r>
        <w:rPr>
          <w:rFonts w:ascii="仿宋_GB2312" w:hAnsi="仿宋_GB2312" w:eastAsia="仿宋_GB2312" w:cs="仿宋_GB2312"/>
          <w:sz w:val="32"/>
        </w:rPr>
        <w:t>1.完成了各类办公用品采购及使用，2.完成各学科教师学习培训，3.完成了校园各项活动的开展，并积极配合南山区开展了各项比赛。4.开展校园特色活动。5，更新了学校设备及环境提升。</w:t>
      </w:r>
    </w:p>
    <w:p>
      <w:pPr>
        <w:pStyle w:val="4"/>
        <w:ind w:firstLine="600"/>
      </w:pPr>
      <w:r>
        <w:rPr>
          <w:rFonts w:ascii="仿宋_GB2312" w:hAnsi="仿宋_GB2312" w:eastAsia="仿宋_GB2312" w:cs="仿宋_GB2312"/>
          <w:b/>
          <w:sz w:val="32"/>
        </w:rPr>
        <w:t>七、2021年主要目标</w:t>
      </w:r>
    </w:p>
    <w:p>
      <w:pPr>
        <w:spacing w:line="360" w:lineRule="auto"/>
        <w:ind w:firstLine="600"/>
      </w:pPr>
      <w:r>
        <w:rPr>
          <w:rFonts w:ascii="仿宋_GB2312" w:hAnsi="仿宋_GB2312" w:eastAsia="仿宋_GB2312" w:cs="仿宋_GB2312"/>
          <w:sz w:val="32"/>
        </w:rPr>
        <w:t>1、完成各学科教师学习培训。2、完成校园各项活动的开展，并积极配合南山区开展各项比赛。3、开展学校特色活动。4、完成学校设备更新及环境提升。</w:t>
      </w:r>
    </w:p>
    <w:p>
      <w:pPr>
        <w:ind w:firstLine="600"/>
        <w:jc w:val="center"/>
      </w:pPr>
      <w:r>
        <w:rPr>
          <w:rFonts w:ascii="华文中宋" w:hAnsi="华文中宋" w:eastAsia="华文中宋" w:cs="华文中宋"/>
          <w:position w:val="-20"/>
          <w:sz w:val="32"/>
        </w:rPr>
        <w:br w:type="textWrapping"/>
      </w:r>
      <w:r>
        <w:rPr>
          <w:rFonts w:hint="eastAsia" w:ascii="仿宋_GB2312" w:hAnsi="宋体" w:eastAsia="仿宋_GB2312" w:cs="Times New Roman"/>
          <w:b/>
          <w:bCs/>
          <w:spacing w:val="-3"/>
          <w:kern w:val="21"/>
          <w:sz w:val="32"/>
          <w:szCs w:val="32"/>
          <w:highlight w:val="none"/>
          <w:lang w:val="en-US" w:eastAsia="zh-CN" w:bidi="ar-SA"/>
        </w:rPr>
        <w:t>第二部分    2021年部门预算收支总体情况</w:t>
      </w:r>
    </w:p>
    <w:p>
      <w:pPr>
        <w:pStyle w:val="4"/>
        <w:spacing w:line="560" w:lineRule="exact"/>
        <w:ind w:firstLine="600"/>
        <w:rPr>
          <w:rFonts w:ascii="仿宋_GB2312" w:hAnsi="仿宋_GB2312" w:eastAsia="仿宋_GB2312" w:cs="仿宋_GB2312"/>
          <w:b/>
          <w:sz w:val="32"/>
          <w:highlight w:val="none"/>
        </w:rPr>
      </w:pPr>
      <w:r>
        <w:rPr>
          <w:rFonts w:ascii="仿宋_GB2312" w:hAnsi="仿宋_GB2312" w:eastAsia="仿宋_GB2312" w:cs="仿宋_GB2312"/>
          <w:b/>
          <w:sz w:val="32"/>
          <w:highlight w:val="none"/>
        </w:rPr>
        <w:t>一、部门预算收支总体情况</w:t>
      </w:r>
    </w:p>
    <w:p>
      <w:pPr>
        <w:spacing w:line="360" w:lineRule="auto"/>
        <w:ind w:firstLine="600"/>
      </w:pPr>
      <w:r>
        <w:rPr>
          <w:rFonts w:ascii="仿宋_GB2312" w:hAnsi="仿宋_GB2312" w:eastAsia="仿宋_GB2312" w:cs="仿宋_GB2312"/>
          <w:sz w:val="32"/>
        </w:rPr>
        <w:t>2021年,本部门总收入9</w:t>
      </w:r>
      <w:r>
        <w:rPr>
          <w:rFonts w:hint="eastAsia" w:ascii="仿宋_GB2312" w:hAnsi="仿宋_GB2312" w:eastAsia="仿宋_GB2312" w:cs="仿宋_GB2312"/>
          <w:sz w:val="32"/>
        </w:rPr>
        <w:t>,</w:t>
      </w:r>
      <w:r>
        <w:rPr>
          <w:rFonts w:ascii="仿宋_GB2312" w:hAnsi="仿宋_GB2312" w:eastAsia="仿宋_GB2312" w:cs="仿宋_GB2312"/>
          <w:sz w:val="32"/>
        </w:rPr>
        <w:t>336.02万元，比2020年减少277.07万元，下降2.88%，其中财政预算拨款收入9</w:t>
      </w:r>
      <w:r>
        <w:rPr>
          <w:rFonts w:hint="eastAsia" w:ascii="仿宋_GB2312" w:hAnsi="仿宋_GB2312" w:eastAsia="仿宋_GB2312" w:cs="仿宋_GB2312"/>
          <w:sz w:val="32"/>
        </w:rPr>
        <w:t>,</w:t>
      </w:r>
      <w:r>
        <w:rPr>
          <w:rFonts w:ascii="仿宋_GB2312" w:hAnsi="仿宋_GB2312" w:eastAsia="仿宋_GB2312" w:cs="仿宋_GB2312"/>
          <w:sz w:val="32"/>
        </w:rPr>
        <w:t>336.02万元，事业收入0.00万元，事业单位经营收入0.00万元，上级补助收入0.00万元,附属单位上缴收入0.00万元,用事业基金弥补收支差额0.00万元,其他收入0.00万元，上年结转0.00万元。</w:t>
      </w:r>
    </w:p>
    <w:p>
      <w:pPr>
        <w:spacing w:line="360" w:lineRule="auto"/>
        <w:ind w:firstLine="600"/>
      </w:pPr>
      <w:r>
        <w:rPr>
          <w:rFonts w:ascii="仿宋_GB2312" w:hAnsi="仿宋_GB2312" w:eastAsia="仿宋_GB2312" w:cs="仿宋_GB2312"/>
          <w:sz w:val="32"/>
        </w:rPr>
        <w:t>2021年，本部门总支出9</w:t>
      </w:r>
      <w:r>
        <w:rPr>
          <w:rFonts w:hint="eastAsia" w:ascii="仿宋_GB2312" w:hAnsi="仿宋_GB2312" w:eastAsia="仿宋_GB2312" w:cs="仿宋_GB2312"/>
          <w:sz w:val="32"/>
        </w:rPr>
        <w:t>,</w:t>
      </w:r>
      <w:r>
        <w:rPr>
          <w:rFonts w:ascii="仿宋_GB2312" w:hAnsi="仿宋_GB2312" w:eastAsia="仿宋_GB2312" w:cs="仿宋_GB2312"/>
          <w:sz w:val="32"/>
        </w:rPr>
        <w:t>336.02万元，较上年减少277.07万元，下降2.88%；其中：工资福利支出5</w:t>
      </w:r>
      <w:r>
        <w:rPr>
          <w:rFonts w:hint="eastAsia" w:ascii="仿宋_GB2312" w:hAnsi="仿宋_GB2312" w:eastAsia="仿宋_GB2312" w:cs="仿宋_GB2312"/>
          <w:sz w:val="32"/>
        </w:rPr>
        <w:t>,</w:t>
      </w:r>
      <w:r>
        <w:rPr>
          <w:rFonts w:ascii="仿宋_GB2312" w:hAnsi="仿宋_GB2312" w:eastAsia="仿宋_GB2312" w:cs="仿宋_GB2312"/>
          <w:sz w:val="32"/>
        </w:rPr>
        <w:t>061.39万元；商品和服务支出301.76万元；对个人和家庭补助支出2</w:t>
      </w:r>
      <w:r>
        <w:rPr>
          <w:rFonts w:hint="eastAsia" w:ascii="仿宋_GB2312" w:hAnsi="仿宋_GB2312" w:eastAsia="仿宋_GB2312" w:cs="仿宋_GB2312"/>
          <w:sz w:val="32"/>
        </w:rPr>
        <w:t>,</w:t>
      </w:r>
      <w:r>
        <w:rPr>
          <w:rFonts w:ascii="仿宋_GB2312" w:hAnsi="仿宋_GB2312" w:eastAsia="仿宋_GB2312" w:cs="仿宋_GB2312"/>
          <w:sz w:val="32"/>
        </w:rPr>
        <w:t>084.42万元；项目支出1</w:t>
      </w:r>
      <w:r>
        <w:rPr>
          <w:rFonts w:hint="eastAsia" w:ascii="仿宋_GB2312" w:hAnsi="仿宋_GB2312" w:eastAsia="仿宋_GB2312" w:cs="仿宋_GB2312"/>
          <w:sz w:val="32"/>
        </w:rPr>
        <w:t>,</w:t>
      </w:r>
      <w:r>
        <w:rPr>
          <w:rFonts w:ascii="仿宋_GB2312" w:hAnsi="仿宋_GB2312" w:eastAsia="仿宋_GB2312" w:cs="仿宋_GB2312"/>
          <w:sz w:val="32"/>
        </w:rPr>
        <w:t>888.45万元。</w:t>
      </w:r>
    </w:p>
    <w:p>
      <w:pPr>
        <w:spacing w:line="360" w:lineRule="auto"/>
        <w:ind w:firstLine="600"/>
        <w:rPr>
          <w:rFonts w:hint="eastAsia" w:eastAsia="仿宋_GB2312"/>
          <w:lang w:eastAsia="zh-CN"/>
        </w:rPr>
      </w:pPr>
      <w:r>
        <w:rPr>
          <w:rFonts w:ascii="仿宋_GB2312" w:hAnsi="仿宋_GB2312" w:eastAsia="仿宋_GB2312" w:cs="仿宋_GB2312"/>
          <w:sz w:val="32"/>
        </w:rPr>
        <w:t>本部门2021年部门预算收支减少277.07万元，主要原因</w:t>
      </w:r>
      <w:r>
        <w:rPr>
          <w:rFonts w:hint="eastAsia" w:ascii="仿宋_GB2312" w:hAnsi="仿宋_GB2312" w:eastAsia="仿宋_GB2312" w:cs="仿宋_GB2312"/>
          <w:sz w:val="32"/>
          <w:lang w:val="en-US" w:eastAsia="zh-CN"/>
        </w:rPr>
        <w:t>为</w:t>
      </w:r>
      <w:bookmarkStart w:id="0" w:name="_GoBack"/>
      <w:bookmarkEnd w:id="0"/>
      <w:r>
        <w:rPr>
          <w:rFonts w:hint="eastAsia" w:ascii="仿宋_GB2312" w:hAnsi="仿宋_GB2312" w:eastAsia="仿宋_GB2312" w:cs="仿宋_GB2312"/>
          <w:sz w:val="32"/>
          <w:lang w:val="en-US" w:eastAsia="zh-CN"/>
        </w:rPr>
        <w:t>学生人数减少及教师人员编制减少</w:t>
      </w:r>
      <w:r>
        <w:rPr>
          <w:rFonts w:hint="eastAsia" w:ascii="仿宋_GB2312" w:hAnsi="仿宋_GB2312" w:eastAsia="仿宋_GB2312" w:cs="仿宋_GB2312"/>
          <w:sz w:val="32"/>
          <w:lang w:eastAsia="zh-CN"/>
        </w:rPr>
        <w:t>。</w:t>
      </w:r>
    </w:p>
    <w:p>
      <w:pPr>
        <w:pStyle w:val="4"/>
        <w:spacing w:line="360" w:lineRule="exact"/>
        <w:ind w:firstLine="600"/>
      </w:pPr>
      <w:r>
        <w:rPr>
          <w:rFonts w:ascii="仿宋_GB2312" w:hAnsi="仿宋_GB2312" w:eastAsia="仿宋_GB2312" w:cs="仿宋_GB2312"/>
          <w:b/>
          <w:sz w:val="32"/>
        </w:rPr>
        <w:t>二、部门预算支出具体情况</w:t>
      </w:r>
    </w:p>
    <w:p>
      <w:pPr>
        <w:spacing w:line="360" w:lineRule="auto"/>
        <w:ind w:firstLine="600"/>
        <w:rPr>
          <w:rFonts w:ascii="仿宋_GB2312" w:hAnsi="仿宋_GB2312" w:eastAsia="仿宋_GB2312" w:cs="仿宋_GB2312"/>
          <w:sz w:val="32"/>
        </w:rPr>
      </w:pPr>
      <w:r>
        <w:rPr>
          <w:rFonts w:ascii="仿宋_GB2312" w:hAnsi="仿宋_GB2312" w:eastAsia="仿宋_GB2312" w:cs="仿宋_GB2312"/>
          <w:sz w:val="32"/>
        </w:rPr>
        <w:t>为完成上述工作目标和任务，2021年，本部门预算支出9</w:t>
      </w:r>
      <w:r>
        <w:rPr>
          <w:rFonts w:hint="eastAsia" w:ascii="仿宋_GB2312" w:hAnsi="仿宋_GB2312" w:eastAsia="仿宋_GB2312" w:cs="仿宋_GB2312"/>
          <w:sz w:val="32"/>
        </w:rPr>
        <w:t>,</w:t>
      </w:r>
      <w:r>
        <w:rPr>
          <w:rFonts w:ascii="仿宋_GB2312" w:hAnsi="仿宋_GB2312" w:eastAsia="仿宋_GB2312" w:cs="仿宋_GB2312"/>
          <w:sz w:val="32"/>
        </w:rPr>
        <w:t>336.02万元；其中：工资福利支出5</w:t>
      </w:r>
      <w:r>
        <w:rPr>
          <w:rFonts w:hint="eastAsia" w:ascii="仿宋_GB2312" w:hAnsi="仿宋_GB2312" w:eastAsia="仿宋_GB2312" w:cs="仿宋_GB2312"/>
          <w:sz w:val="32"/>
        </w:rPr>
        <w:t>,</w:t>
      </w:r>
      <w:r>
        <w:rPr>
          <w:rFonts w:ascii="仿宋_GB2312" w:hAnsi="仿宋_GB2312" w:eastAsia="仿宋_GB2312" w:cs="仿宋_GB2312"/>
          <w:sz w:val="32"/>
        </w:rPr>
        <w:t>061.39万元；商品和服务支出301.76万元；对个人和家庭补助支出2</w:t>
      </w:r>
      <w:r>
        <w:rPr>
          <w:rFonts w:hint="eastAsia" w:ascii="仿宋_GB2312" w:hAnsi="仿宋_GB2312" w:eastAsia="仿宋_GB2312" w:cs="仿宋_GB2312"/>
          <w:sz w:val="32"/>
        </w:rPr>
        <w:t>,</w:t>
      </w:r>
      <w:r>
        <w:rPr>
          <w:rFonts w:ascii="仿宋_GB2312" w:hAnsi="仿宋_GB2312" w:eastAsia="仿宋_GB2312" w:cs="仿宋_GB2312"/>
          <w:sz w:val="32"/>
        </w:rPr>
        <w:t>084.42万元；项目支出1</w:t>
      </w:r>
      <w:r>
        <w:rPr>
          <w:rFonts w:hint="eastAsia" w:ascii="仿宋_GB2312" w:hAnsi="仿宋_GB2312" w:eastAsia="仿宋_GB2312" w:cs="仿宋_GB2312"/>
          <w:sz w:val="32"/>
        </w:rPr>
        <w:t>,</w:t>
      </w:r>
      <w:r>
        <w:rPr>
          <w:rFonts w:ascii="仿宋_GB2312" w:hAnsi="仿宋_GB2312" w:eastAsia="仿宋_GB2312" w:cs="仿宋_GB2312"/>
          <w:sz w:val="32"/>
        </w:rPr>
        <w:t>888.45万元。项目支出主要内容有:</w:t>
      </w:r>
    </w:p>
    <w:p>
      <w:pPr>
        <w:numPr>
          <w:ilvl w:val="0"/>
          <w:numId w:val="0"/>
        </w:num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ascii="仿宋_GB2312" w:hAnsi="仿宋_GB2312" w:eastAsia="仿宋_GB2312" w:cs="仿宋_GB2312"/>
          <w:sz w:val="32"/>
        </w:rPr>
        <w:t>校园文化27.2万元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主要用于开展学校各种文化活动经费支出；</w:t>
      </w:r>
    </w:p>
    <w:p>
      <w:pPr>
        <w:numPr>
          <w:ilvl w:val="0"/>
          <w:numId w:val="0"/>
        </w:num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ascii="仿宋_GB2312" w:hAnsi="仿宋_GB2312" w:eastAsia="仿宋_GB2312" w:cs="仿宋_GB2312"/>
          <w:sz w:val="32"/>
        </w:rPr>
        <w:t>校园修缮231万元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主要用于维修维护校园各项教育教学设施；</w:t>
      </w:r>
    </w:p>
    <w:p>
      <w:pPr>
        <w:numPr>
          <w:ilvl w:val="0"/>
          <w:numId w:val="0"/>
        </w:num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w:t>
      </w:r>
      <w:r>
        <w:rPr>
          <w:rFonts w:ascii="仿宋_GB2312" w:hAnsi="仿宋_GB2312" w:eastAsia="仿宋_GB2312" w:cs="仿宋_GB2312"/>
          <w:sz w:val="32"/>
        </w:rPr>
        <w:t>午餐午休114万元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主要用于保障师生午餐午休工作经费支出；</w:t>
      </w:r>
    </w:p>
    <w:p>
      <w:pPr>
        <w:numPr>
          <w:ilvl w:val="0"/>
          <w:numId w:val="0"/>
        </w:num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w:t>
      </w:r>
      <w:r>
        <w:rPr>
          <w:rFonts w:ascii="仿宋_GB2312" w:hAnsi="仿宋_GB2312" w:eastAsia="仿宋_GB2312" w:cs="仿宋_GB2312"/>
          <w:sz w:val="32"/>
        </w:rPr>
        <w:t>四点半活动经费250.5万元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主要用于用于四点半相关课程培训费、设备设施购置费；</w:t>
      </w:r>
    </w:p>
    <w:p>
      <w:pPr>
        <w:numPr>
          <w:ilvl w:val="0"/>
          <w:numId w:val="0"/>
        </w:num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w:t>
      </w:r>
      <w:r>
        <w:rPr>
          <w:rFonts w:ascii="仿宋_GB2312" w:hAnsi="仿宋_GB2312" w:eastAsia="仿宋_GB2312" w:cs="仿宋_GB2312"/>
          <w:sz w:val="32"/>
        </w:rPr>
        <w:t>后勤管理经费198.5</w:t>
      </w:r>
      <w:r>
        <w:rPr>
          <w:rFonts w:hint="eastAsia" w:ascii="仿宋_GB2312" w:hAnsi="仿宋_GB2312" w:eastAsia="仿宋_GB2312" w:cs="仿宋_GB2312"/>
          <w:sz w:val="32"/>
          <w:lang w:val="en-US" w:eastAsia="zh-CN"/>
        </w:rPr>
        <w:t>3</w:t>
      </w:r>
      <w:r>
        <w:rPr>
          <w:rFonts w:ascii="仿宋_GB2312" w:hAnsi="仿宋_GB2312" w:eastAsia="仿宋_GB2312" w:cs="仿宋_GB2312"/>
          <w:sz w:val="32"/>
        </w:rPr>
        <w:t>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主要用于清洁、花工、电工等后勤管理专项，校园保安经费及其他后勤管理经费；</w:t>
      </w:r>
    </w:p>
    <w:p>
      <w:pPr>
        <w:numPr>
          <w:ilvl w:val="0"/>
          <w:numId w:val="0"/>
        </w:num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w:t>
      </w:r>
      <w:r>
        <w:rPr>
          <w:rFonts w:ascii="仿宋_GB2312" w:hAnsi="仿宋_GB2312" w:eastAsia="仿宋_GB2312" w:cs="仿宋_GB2312"/>
          <w:sz w:val="32"/>
        </w:rPr>
        <w:t>教育教学设备164.3万元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主要用于购置各项教育教学用设备等；</w:t>
      </w:r>
    </w:p>
    <w:p>
      <w:pPr>
        <w:numPr>
          <w:ilvl w:val="0"/>
          <w:numId w:val="0"/>
        </w:numPr>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w:t>
      </w:r>
      <w:r>
        <w:rPr>
          <w:rFonts w:ascii="仿宋_GB2312" w:hAnsi="仿宋_GB2312" w:eastAsia="仿宋_GB2312" w:cs="仿宋_GB2312"/>
          <w:sz w:val="32"/>
        </w:rPr>
        <w:t>购买教育服务经费3</w:t>
      </w:r>
      <w:r>
        <w:rPr>
          <w:rFonts w:hint="eastAsia" w:ascii="仿宋_GB2312" w:hAnsi="仿宋_GB2312" w:eastAsia="仿宋_GB2312" w:cs="仿宋_GB2312"/>
          <w:sz w:val="32"/>
        </w:rPr>
        <w:t>51</w:t>
      </w:r>
      <w:r>
        <w:rPr>
          <w:rFonts w:ascii="仿宋_GB2312" w:hAnsi="仿宋_GB2312" w:eastAsia="仿宋_GB2312" w:cs="仿宋_GB2312"/>
          <w:sz w:val="32"/>
        </w:rPr>
        <w:t>.</w:t>
      </w:r>
      <w:r>
        <w:rPr>
          <w:rFonts w:hint="eastAsia" w:ascii="仿宋_GB2312" w:hAnsi="仿宋_GB2312" w:eastAsia="仿宋_GB2312" w:cs="仿宋_GB2312"/>
          <w:sz w:val="32"/>
        </w:rPr>
        <w:t>7</w:t>
      </w:r>
      <w:r>
        <w:rPr>
          <w:rFonts w:ascii="仿宋_GB2312" w:hAnsi="仿宋_GB2312" w:eastAsia="仿宋_GB2312" w:cs="仿宋_GB2312"/>
          <w:sz w:val="32"/>
        </w:rPr>
        <w:t>4万元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主要用于购买教育服务人员经费支出；</w:t>
      </w:r>
    </w:p>
    <w:p>
      <w:pPr>
        <w:numPr>
          <w:ilvl w:val="0"/>
          <w:numId w:val="0"/>
        </w:numPr>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8.</w:t>
      </w:r>
      <w:r>
        <w:rPr>
          <w:rFonts w:ascii="仿宋_GB2312" w:hAnsi="仿宋_GB2312" w:eastAsia="仿宋_GB2312" w:cs="仿宋_GB2312"/>
          <w:sz w:val="32"/>
        </w:rPr>
        <w:t>教学教研经费109.9</w:t>
      </w:r>
      <w:r>
        <w:rPr>
          <w:rFonts w:hint="eastAsia" w:ascii="仿宋_GB2312" w:hAnsi="仿宋_GB2312" w:eastAsia="仿宋_GB2312" w:cs="仿宋_GB2312"/>
          <w:sz w:val="32"/>
          <w:lang w:val="en-US" w:eastAsia="zh-CN"/>
        </w:rPr>
        <w:t>9</w:t>
      </w:r>
      <w:r>
        <w:rPr>
          <w:rFonts w:ascii="仿宋_GB2312" w:hAnsi="仿宋_GB2312" w:eastAsia="仿宋_GB2312" w:cs="仿宋_GB2312"/>
          <w:sz w:val="32"/>
        </w:rPr>
        <w:t>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w:t>
      </w:r>
      <w:r>
        <w:rPr>
          <w:rFonts w:hint="eastAsia" w:ascii="仿宋_GB2312" w:hAnsi="仿宋_GB2312" w:eastAsia="仿宋_GB2312" w:cs="仿宋_GB2312"/>
          <w:sz w:val="32"/>
          <w:lang w:eastAsia="zh-CN"/>
        </w:rPr>
        <w:t>开展教育、教研活动</w:t>
      </w:r>
      <w:r>
        <w:rPr>
          <w:rFonts w:hint="eastAsia" w:ascii="仿宋_GB2312" w:hAnsi="仿宋_GB2312" w:eastAsia="仿宋_GB2312" w:cs="仿宋_GB2312"/>
          <w:sz w:val="32"/>
          <w:lang w:val="en-US" w:eastAsia="zh-CN"/>
        </w:rPr>
        <w:t>支出；</w:t>
      </w:r>
    </w:p>
    <w:p>
      <w:pPr>
        <w:numPr>
          <w:ilvl w:val="0"/>
          <w:numId w:val="0"/>
        </w:numPr>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w:t>
      </w:r>
      <w:r>
        <w:rPr>
          <w:rFonts w:ascii="仿宋_GB2312" w:hAnsi="仿宋_GB2312" w:eastAsia="仿宋_GB2312" w:cs="仿宋_GB2312"/>
          <w:sz w:val="32"/>
        </w:rPr>
        <w:t>教学材料经费118.08万元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主要用于购置各项教学用相关材料经费支出；</w:t>
      </w:r>
    </w:p>
    <w:p>
      <w:pPr>
        <w:numPr>
          <w:ilvl w:val="0"/>
          <w:numId w:val="0"/>
        </w:numPr>
        <w:spacing w:line="360" w:lineRule="auto"/>
        <w:ind w:firstLine="640" w:firstLineChars="200"/>
        <w:rPr>
          <w:rFonts w:hint="default" w:eastAsia="仿宋_GB2312"/>
          <w:lang w:val="en-US" w:eastAsia="zh-CN"/>
        </w:rPr>
      </w:pPr>
      <w:r>
        <w:rPr>
          <w:rFonts w:hint="eastAsia" w:ascii="仿宋_GB2312" w:hAnsi="仿宋_GB2312" w:eastAsia="仿宋_GB2312" w:cs="仿宋_GB2312"/>
          <w:sz w:val="32"/>
          <w:lang w:val="en-US" w:eastAsia="zh-CN"/>
        </w:rPr>
        <w:t>10.其他项目经费，包括：</w:t>
      </w:r>
      <w:r>
        <w:rPr>
          <w:rFonts w:ascii="仿宋_GB2312" w:hAnsi="仿宋_GB2312" w:eastAsia="仿宋_GB2312" w:cs="仿宋_GB2312"/>
          <w:sz w:val="32"/>
        </w:rPr>
        <w:t>教育管理事务3万元、预算准备金25.70万元、文体专项经费8万元、</w:t>
      </w:r>
      <w:r>
        <w:rPr>
          <w:rFonts w:ascii="仿宋_GB2312" w:hAnsi="仿宋_GB2312" w:eastAsia="仿宋_GB2312" w:cs="仿宋_GB2312"/>
          <w:color w:val="000000" w:themeColor="text1"/>
          <w:sz w:val="32"/>
          <w14:textFill>
            <w14:solidFill>
              <w14:schemeClr w14:val="tx1"/>
            </w14:solidFill>
          </w14:textFill>
        </w:rPr>
        <w:t>厕所革命经费</w:t>
      </w:r>
      <w:r>
        <w:rPr>
          <w:rFonts w:hint="eastAsia" w:ascii="仿宋_GB2312" w:hAnsi="仿宋_GB2312" w:eastAsia="仿宋_GB2312" w:cs="仿宋_GB2312"/>
          <w:color w:val="000000" w:themeColor="text1"/>
          <w:sz w:val="32"/>
          <w14:textFill>
            <w14:solidFill>
              <w14:schemeClr w14:val="tx1"/>
            </w14:solidFill>
          </w14:textFill>
        </w:rPr>
        <w:t>45</w:t>
      </w:r>
      <w:r>
        <w:rPr>
          <w:rFonts w:ascii="仿宋_GB2312" w:hAnsi="仿宋_GB2312" w:eastAsia="仿宋_GB2312" w:cs="仿宋_GB2312"/>
          <w:color w:val="000000" w:themeColor="text1"/>
          <w:sz w:val="32"/>
          <w14:textFill>
            <w14:solidFill>
              <w14:schemeClr w14:val="tx1"/>
            </w14:solidFill>
          </w14:textFill>
        </w:rPr>
        <w:t>万元</w:t>
      </w:r>
      <w:r>
        <w:rPr>
          <w:rFonts w:ascii="仿宋_GB2312" w:hAnsi="仿宋_GB2312" w:eastAsia="仿宋_GB2312" w:cs="仿宋_GB2312"/>
          <w:sz w:val="32"/>
        </w:rPr>
        <w:t>、学校特色经费40万元、</w:t>
      </w:r>
      <w:r>
        <w:rPr>
          <w:rFonts w:hint="eastAsia" w:ascii="仿宋_GB2312" w:hAnsi="仿宋_GB2312" w:eastAsia="仿宋_GB2312" w:cs="仿宋_GB2312"/>
          <w:sz w:val="32"/>
          <w:lang w:val="en-US" w:eastAsia="zh-CN"/>
        </w:rPr>
        <w:t>教育活动44.84万元、</w:t>
      </w:r>
      <w:r>
        <w:rPr>
          <w:rFonts w:ascii="仿宋_GB2312" w:hAnsi="仿宋_GB2312" w:eastAsia="仿宋_GB2312" w:cs="仿宋_GB2312"/>
          <w:sz w:val="32"/>
        </w:rPr>
        <w:t>学生体检、体质检测12.99万元、特色教育经费25万元、学生活动经费16万元、校舍安全经费20.04万元、校园活动经费20万元、班主任工作经费10.8万元、社会实践活动经费23.94万元</w:t>
      </w:r>
      <w:r>
        <w:rPr>
          <w:rFonts w:hint="eastAsia" w:ascii="仿宋_GB2312" w:hAnsi="仿宋_GB2312" w:eastAsia="仿宋_GB2312" w:cs="仿宋_GB2312"/>
          <w:sz w:val="32"/>
          <w:lang w:eastAsia="zh-CN"/>
        </w:rPr>
        <w:t>、</w:t>
      </w:r>
      <w:r>
        <w:rPr>
          <w:rFonts w:ascii="仿宋_GB2312" w:hAnsi="仿宋_GB2312" w:eastAsia="仿宋_GB2312" w:cs="仿宋_GB2312"/>
          <w:color w:val="000000" w:themeColor="text1"/>
          <w:sz w:val="32"/>
          <w14:textFill>
            <w14:solidFill>
              <w14:schemeClr w14:val="tx1"/>
            </w14:solidFill>
          </w14:textFill>
        </w:rPr>
        <w:t>班主任专项经费1</w:t>
      </w:r>
      <w:r>
        <w:rPr>
          <w:rFonts w:hint="eastAsia" w:ascii="仿宋_GB2312" w:hAnsi="仿宋_GB2312" w:eastAsia="仿宋_GB2312" w:cs="仿宋_GB2312"/>
          <w:color w:val="000000" w:themeColor="text1"/>
          <w:sz w:val="32"/>
          <w14:textFill>
            <w14:solidFill>
              <w14:schemeClr w14:val="tx1"/>
            </w14:solidFill>
          </w14:textFill>
        </w:rPr>
        <w:t>5</w:t>
      </w:r>
      <w:r>
        <w:rPr>
          <w:rFonts w:ascii="仿宋_GB2312" w:hAnsi="仿宋_GB2312" w:eastAsia="仿宋_GB2312" w:cs="仿宋_GB2312"/>
          <w:color w:val="000000" w:themeColor="text1"/>
          <w:sz w:val="32"/>
          <w14:textFill>
            <w14:solidFill>
              <w14:schemeClr w14:val="tx1"/>
            </w14:solidFill>
          </w14:textFill>
        </w:rPr>
        <w:t>.75万元</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老干部活动</w:t>
      </w:r>
      <w:r>
        <w:rPr>
          <w:rFonts w:hint="eastAsia" w:ascii="仿宋_GB2312" w:hAnsi="仿宋_GB2312" w:eastAsia="仿宋_GB2312" w:cs="仿宋_GB2312"/>
          <w:color w:val="000000" w:themeColor="text1"/>
          <w:sz w:val="32"/>
          <w:lang w:eastAsia="zh-CN"/>
          <w14:textFill>
            <w14:solidFill>
              <w14:schemeClr w14:val="tx1"/>
            </w14:solidFill>
          </w14:textFill>
        </w:rPr>
        <w:t>经费</w:t>
      </w:r>
      <w:r>
        <w:rPr>
          <w:rFonts w:hint="eastAsia" w:ascii="仿宋_GB2312" w:hAnsi="仿宋_GB2312" w:eastAsia="仿宋_GB2312" w:cs="仿宋_GB2312"/>
          <w:color w:val="000000" w:themeColor="text1"/>
          <w:sz w:val="32"/>
          <w:lang w:val="en-US" w:eastAsia="zh-CN"/>
          <w14:textFill>
            <w14:solidFill>
              <w14:schemeClr w14:val="tx1"/>
            </w14:solidFill>
          </w14:textFill>
        </w:rPr>
        <w:t>12万元。</w:t>
      </w:r>
    </w:p>
    <w:p>
      <w:pPr>
        <w:pStyle w:val="4"/>
        <w:spacing w:line="360" w:lineRule="exact"/>
        <w:ind w:firstLine="600"/>
      </w:pPr>
      <w:r>
        <w:rPr>
          <w:rFonts w:ascii="仿宋_GB2312" w:hAnsi="仿宋_GB2312" w:eastAsia="仿宋_GB2312" w:cs="仿宋_GB2312"/>
          <w:b/>
          <w:sz w:val="32"/>
        </w:rPr>
        <w:t>三、“三公”经费预算安排情况及经费增减变化原因</w:t>
      </w:r>
    </w:p>
    <w:p>
      <w:pPr>
        <w:spacing w:line="360" w:lineRule="auto"/>
        <w:ind w:firstLine="600"/>
        <w:rPr>
          <w:rFonts w:ascii="仿宋_GB2312" w:hAnsi="仿宋_GB2312" w:eastAsia="仿宋_GB2312" w:cs="仿宋_GB2312"/>
          <w:sz w:val="32"/>
        </w:rPr>
      </w:pPr>
      <w:r>
        <w:rPr>
          <w:rFonts w:ascii="仿宋_GB2312" w:hAnsi="仿宋_GB2312" w:eastAsia="仿宋_GB2312" w:cs="仿宋_GB2312"/>
          <w:sz w:val="32"/>
        </w:rPr>
        <w:t>2021年“三公”经费财政拨款预算0万元，</w:t>
      </w:r>
      <w:r>
        <w:rPr>
          <w:rFonts w:hint="eastAsia" w:ascii="仿宋_GB2312" w:hAnsi="仿宋_GB2312" w:eastAsia="仿宋_GB2312" w:cs="仿宋_GB2312"/>
          <w:sz w:val="32"/>
          <w:lang w:val="en-US" w:eastAsia="zh-CN"/>
        </w:rPr>
        <w:t>与</w:t>
      </w:r>
      <w:r>
        <w:rPr>
          <w:rFonts w:ascii="仿宋_GB2312" w:hAnsi="仿宋_GB2312" w:eastAsia="仿宋_GB2312" w:cs="仿宋_GB2312"/>
          <w:sz w:val="32"/>
        </w:rPr>
        <w:t>2020年“三公”经费财政拨款预算</w:t>
      </w:r>
      <w:r>
        <w:rPr>
          <w:rFonts w:hint="eastAsia" w:ascii="仿宋_GB2312" w:hAnsi="仿宋_GB2312" w:eastAsia="仿宋_GB2312" w:cs="仿宋_GB2312"/>
          <w:sz w:val="32"/>
          <w:lang w:val="en-US" w:eastAsia="zh-CN"/>
        </w:rPr>
        <w:t>数持平</w:t>
      </w:r>
      <w:r>
        <w:rPr>
          <w:rFonts w:ascii="仿宋_GB2312" w:hAnsi="仿宋_GB2312" w:eastAsia="仿宋_GB2312" w:cs="仿宋_GB2312"/>
          <w:sz w:val="32"/>
        </w:rPr>
        <w:t>。</w:t>
      </w:r>
    </w:p>
    <w:p>
      <w:pPr>
        <w:spacing w:line="360" w:lineRule="auto"/>
        <w:ind w:firstLine="600"/>
      </w:pPr>
      <w:r>
        <w:rPr>
          <w:rFonts w:ascii="仿宋_GB2312" w:hAnsi="仿宋_GB2312" w:eastAsia="仿宋_GB2312" w:cs="仿宋_GB2312"/>
          <w:sz w:val="32"/>
        </w:rPr>
        <w:t>1.因公出国（境）费用。2021年预算数0万元。为进一步规范因公出国（境）经费管理，我区因公出国（境）费用完全按照零基预算的原则编制，实行规模总控，因此各部门2021年因公出国（境）经费预算数为零，在实际执行中根据计划据实调配。</w:t>
      </w:r>
    </w:p>
    <w:p>
      <w:pPr>
        <w:spacing w:line="360" w:lineRule="auto"/>
        <w:ind w:firstLine="600"/>
      </w:pPr>
      <w:r>
        <w:rPr>
          <w:rFonts w:ascii="仿宋_GB2312" w:hAnsi="仿宋_GB2312" w:eastAsia="仿宋_GB2312" w:cs="仿宋_GB2312"/>
          <w:sz w:val="32"/>
        </w:rPr>
        <w:t>2.公务接待费。2021年预算数0万元。</w:t>
      </w:r>
      <w:r>
        <w:rPr>
          <w:rFonts w:hint="eastAsia" w:ascii="仿宋_GB2312" w:hAnsi="仿宋_GB2312" w:eastAsia="仿宋_GB2312" w:cs="仿宋_GB2312"/>
          <w:sz w:val="32"/>
        </w:rPr>
        <w:t>与</w:t>
      </w:r>
      <w:r>
        <w:rPr>
          <w:rFonts w:ascii="仿宋_GB2312" w:hAnsi="仿宋_GB2312" w:eastAsia="仿宋_GB2312" w:cs="仿宋_GB2312"/>
          <w:sz w:val="32"/>
        </w:rPr>
        <w:t>2020年</w:t>
      </w:r>
      <w:r>
        <w:rPr>
          <w:rFonts w:hint="eastAsia" w:ascii="仿宋_GB2312" w:hAnsi="仿宋_GB2312" w:eastAsia="仿宋_GB2312" w:cs="仿宋_GB2312"/>
          <w:sz w:val="32"/>
        </w:rPr>
        <w:t>预算数持平。</w:t>
      </w:r>
    </w:p>
    <w:p>
      <w:pPr>
        <w:spacing w:line="360" w:lineRule="auto"/>
        <w:ind w:firstLine="600"/>
      </w:pPr>
      <w:r>
        <w:rPr>
          <w:rFonts w:ascii="仿宋_GB2312" w:hAnsi="仿宋_GB2312" w:eastAsia="仿宋_GB2312" w:cs="仿宋_GB2312"/>
          <w:sz w:val="32"/>
        </w:rPr>
        <w:t>3.公务用车购置和运行维护费。2021年预算数0万元，其中：公务用车购置费2021年预算数0万元，</w:t>
      </w:r>
      <w:r>
        <w:rPr>
          <w:rFonts w:hint="eastAsia" w:ascii="仿宋_GB2312" w:hAnsi="仿宋_GB2312" w:eastAsia="仿宋_GB2312" w:cs="仿宋_GB2312"/>
          <w:sz w:val="32"/>
        </w:rPr>
        <w:t>与</w:t>
      </w:r>
      <w:r>
        <w:rPr>
          <w:rFonts w:ascii="仿宋_GB2312" w:hAnsi="仿宋_GB2312" w:eastAsia="仿宋_GB2312" w:cs="仿宋_GB2312"/>
          <w:sz w:val="32"/>
        </w:rPr>
        <w:t>2020年预算数</w:t>
      </w:r>
      <w:r>
        <w:rPr>
          <w:rFonts w:hint="eastAsia" w:ascii="仿宋_GB2312" w:hAnsi="仿宋_GB2312" w:eastAsia="仿宋_GB2312" w:cs="仿宋_GB2312"/>
          <w:sz w:val="32"/>
        </w:rPr>
        <w:t>持平。为进一步规范公务用车管理，我区公务用车购置实行规模总控，在实际执行中根据区公务用车领导小组审批意见指导调配</w:t>
      </w:r>
      <w:r>
        <w:rPr>
          <w:rFonts w:hint="eastAsia" w:ascii="仿宋_GB2312" w:hAnsi="仿宋_GB2312" w:eastAsia="仿宋_GB2312" w:cs="仿宋_GB2312"/>
          <w:sz w:val="32"/>
          <w:lang w:eastAsia="zh-CN"/>
        </w:rPr>
        <w:t>。</w:t>
      </w:r>
      <w:r>
        <w:rPr>
          <w:rFonts w:ascii="仿宋_GB2312" w:hAnsi="仿宋_GB2312" w:eastAsia="仿宋_GB2312" w:cs="仿宋_GB2312"/>
          <w:sz w:val="32"/>
        </w:rPr>
        <w:t>公务用车运行维护费2021年预算数0万元，</w:t>
      </w:r>
      <w:r>
        <w:rPr>
          <w:rFonts w:hint="eastAsia" w:ascii="仿宋_GB2312" w:hAnsi="仿宋_GB2312" w:eastAsia="仿宋_GB2312" w:cs="仿宋_GB2312"/>
          <w:sz w:val="32"/>
        </w:rPr>
        <w:t>与</w:t>
      </w:r>
      <w:r>
        <w:rPr>
          <w:rFonts w:ascii="仿宋_GB2312" w:hAnsi="仿宋_GB2312" w:eastAsia="仿宋_GB2312" w:cs="仿宋_GB2312"/>
          <w:sz w:val="32"/>
        </w:rPr>
        <w:t>2020年预算数</w:t>
      </w:r>
      <w:r>
        <w:rPr>
          <w:rFonts w:hint="eastAsia" w:ascii="仿宋_GB2312" w:hAnsi="仿宋_GB2312" w:eastAsia="仿宋_GB2312" w:cs="仿宋_GB2312"/>
          <w:sz w:val="32"/>
        </w:rPr>
        <w:t>持平。</w:t>
      </w:r>
    </w:p>
    <w:p>
      <w:pPr>
        <w:spacing w:line="360" w:lineRule="auto"/>
        <w:ind w:firstLine="600"/>
      </w:pPr>
      <w:r>
        <w:rPr>
          <w:rFonts w:ascii="仿宋_GB2312" w:hAnsi="仿宋_GB2312" w:eastAsia="仿宋_GB2312" w:cs="仿宋_GB2312"/>
          <w:sz w:val="32"/>
        </w:rPr>
        <w:t>我单位现有车辆0辆，公务用车运行维护费用于：日常公务出行，包括公务用车油费、保险费、维修保养费、路桥费等。</w:t>
      </w:r>
    </w:p>
    <w:p>
      <w:pPr>
        <w:pStyle w:val="4"/>
        <w:spacing w:line="360" w:lineRule="exact"/>
        <w:ind w:firstLine="600"/>
      </w:pPr>
      <w:r>
        <w:rPr>
          <w:rFonts w:ascii="仿宋_GB2312" w:hAnsi="仿宋_GB2312" w:eastAsia="仿宋_GB2312" w:cs="仿宋_GB2312"/>
          <w:b/>
          <w:sz w:val="32"/>
        </w:rPr>
        <w:t>四、2021年部门预算附录表</w:t>
      </w:r>
    </w:p>
    <w:p>
      <w:pPr>
        <w:spacing w:line="360" w:lineRule="auto"/>
        <w:jc w:val="left"/>
        <w:rPr>
          <w:rFonts w:ascii="仿宋_GB2312" w:hAnsi="仿宋_GB2312" w:eastAsia="仿宋_GB2312" w:cs="仿宋_GB2312"/>
          <w:sz w:val="32"/>
        </w:rPr>
      </w:pPr>
      <w:r>
        <w:rPr>
          <w:rFonts w:ascii="仿宋_GB2312" w:hAnsi="仿宋_GB2312" w:eastAsia="仿宋_GB2312" w:cs="仿宋_GB2312"/>
          <w:sz w:val="32"/>
        </w:rPr>
        <w:t xml:space="preserve">     表一：部门预算收支总表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表二：部门收入总体情况表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表三：部门支出总体情况表（按功能科目分类）</w:t>
      </w:r>
      <w:r>
        <w:rPr>
          <w:rFonts w:ascii="仿宋_GB2312" w:hAnsi="仿宋_GB2312" w:eastAsia="仿宋_GB2312" w:cs="仿宋_GB2312"/>
          <w:sz w:val="32"/>
        </w:rPr>
        <w:br w:type="textWrapping"/>
      </w:r>
      <w:r>
        <w:rPr>
          <w:rFonts w:ascii="仿宋_GB2312" w:hAnsi="仿宋_GB2312" w:eastAsia="仿宋_GB2312" w:cs="仿宋_GB2312"/>
          <w:sz w:val="32"/>
        </w:rPr>
        <w:t xml:space="preserve">     表四：财政拨款收支总体情况表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表五：一般公共预算支出情况表（按功能科目分类）</w:t>
      </w:r>
      <w:r>
        <w:rPr>
          <w:rFonts w:ascii="仿宋_GB2312" w:hAnsi="仿宋_GB2312" w:eastAsia="仿宋_GB2312" w:cs="仿宋_GB2312"/>
          <w:sz w:val="32"/>
        </w:rPr>
        <w:br w:type="textWrapping"/>
      </w:r>
      <w:r>
        <w:rPr>
          <w:rFonts w:ascii="仿宋_GB2312" w:hAnsi="仿宋_GB2312" w:eastAsia="仿宋_GB2312" w:cs="仿宋_GB2312"/>
          <w:sz w:val="32"/>
        </w:rPr>
        <w:t xml:space="preserve">     表六：一般公共预算基本支出情况表（按经济科目分类）</w:t>
      </w:r>
      <w:r>
        <w:rPr>
          <w:rFonts w:ascii="仿宋_GB2312" w:hAnsi="仿宋_GB2312" w:eastAsia="仿宋_GB2312" w:cs="仿宋_GB2312"/>
          <w:sz w:val="32"/>
        </w:rPr>
        <w:br w:type="textWrapping"/>
      </w:r>
      <w:r>
        <w:rPr>
          <w:rFonts w:ascii="仿宋_GB2312" w:hAnsi="仿宋_GB2312" w:eastAsia="仿宋_GB2312" w:cs="仿宋_GB2312"/>
          <w:sz w:val="32"/>
        </w:rPr>
        <w:t xml:space="preserve">     表七：一般公共预算“三公”经费支出情况表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表八：政府性基金预算支出情况表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表九：部门支出总体情况表（按项目名称分类）</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表十：政府采购项目经费预算表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表十一：一般公共预算基本支出情况表（按政府经济科目分类）</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表十二：产业扶持资金预算支出情况表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表十三：政府购买服务支出表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表十四：政府投资项目计划表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表十五：上级专项转移支付支出预算表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表十六：部门（单位）整体绩效目标填报表</w:t>
      </w:r>
      <w:r>
        <w:rPr>
          <w:rFonts w:ascii="仿宋_GB2312" w:hAnsi="仿宋_GB2312" w:eastAsia="仿宋_GB2312" w:cs="仿宋_GB2312"/>
          <w:sz w:val="32"/>
        </w:rPr>
        <w:br w:type="textWrapping"/>
      </w:r>
      <w:r>
        <w:rPr>
          <w:rFonts w:ascii="仿宋_GB2312" w:hAnsi="仿宋_GB2312" w:eastAsia="仿宋_GB2312" w:cs="仿宋_GB2312"/>
          <w:sz w:val="32"/>
        </w:rPr>
        <w:t xml:space="preserve">     表十七：项目预算绩效目标填报表</w:t>
      </w:r>
    </w:p>
    <w:p>
      <w:pPr>
        <w:spacing w:line="360" w:lineRule="auto"/>
        <w:ind w:firstLine="800" w:firstLineChars="250"/>
        <w:jc w:val="left"/>
        <w:rPr>
          <w:rFonts w:hint="eastAsia" w:ascii="仿宋_GB2312" w:hAnsi="仿宋_GB2312" w:eastAsia="仿宋_GB2312" w:cs="仿宋_GB2312"/>
          <w:sz w:val="32"/>
        </w:rPr>
      </w:pPr>
      <w:r>
        <w:rPr>
          <w:rFonts w:ascii="仿宋_GB2312" w:hAnsi="仿宋_GB2312" w:eastAsia="仿宋_GB2312" w:cs="仿宋_GB2312"/>
          <w:sz w:val="32"/>
        </w:rPr>
        <w:t>表十</w:t>
      </w:r>
      <w:r>
        <w:rPr>
          <w:rFonts w:hint="eastAsia" w:ascii="仿宋_GB2312" w:hAnsi="仿宋_GB2312" w:eastAsia="仿宋_GB2312" w:cs="仿宋_GB2312"/>
          <w:sz w:val="32"/>
        </w:rPr>
        <w:t>八</w:t>
      </w:r>
      <w:r>
        <w:rPr>
          <w:rFonts w:ascii="仿宋_GB2312" w:hAnsi="仿宋_GB2312" w:eastAsia="仿宋_GB2312" w:cs="仿宋_GB2312"/>
          <w:sz w:val="32"/>
        </w:rPr>
        <w:t>：</w:t>
      </w:r>
      <w:r>
        <w:rPr>
          <w:rFonts w:hint="eastAsia" w:ascii="仿宋_GB2312" w:hAnsi="仿宋_GB2312" w:eastAsia="仿宋_GB2312" w:cs="仿宋_GB2312"/>
          <w:sz w:val="32"/>
        </w:rPr>
        <w:t>国有资本经营预算支出情况表</w:t>
      </w: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2"/>
        <w:rPr>
          <w:rFonts w:hint="eastAsia" w:ascii="仿宋_GB2312" w:hAnsi="仿宋_GB2312" w:eastAsia="仿宋_GB2312" w:cs="仿宋_GB2312"/>
          <w:sz w:val="32"/>
        </w:rPr>
      </w:pPr>
    </w:p>
    <w:p>
      <w:pPr>
        <w:pStyle w:val="5"/>
        <w:spacing w:after="312"/>
        <w:jc w:val="center"/>
      </w:pPr>
      <w:r>
        <w:rPr>
          <w:rFonts w:hint="eastAsia"/>
        </w:rPr>
        <w:t>表一：部门预算收支总表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322"/>
        <w:gridCol w:w="1859"/>
        <w:gridCol w:w="2322"/>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00" w:type="dxa"/>
            <w:gridSpan w:val="3"/>
            <w:tcBorders>
              <w:top w:val="nil"/>
              <w:left w:val="nil"/>
              <w:bottom w:val="single" w:color="auto" w:sz="4" w:space="0"/>
              <w:right w:val="nil"/>
            </w:tcBorders>
            <w:noWrap w:val="0"/>
            <w:vAlign w:val="top"/>
          </w:tcPr>
          <w:p>
            <w:pPr>
              <w:spacing w:line="220" w:lineRule="exact"/>
              <w:jc w:val="left"/>
              <w:rPr>
                <w:rFonts w:ascii="仿宋_GB2312" w:hAnsi="微软雅黑" w:eastAsia="仿宋_GB2312"/>
                <w:sz w:val="16"/>
                <w:szCs w:val="21"/>
              </w:rPr>
            </w:pPr>
            <w:r>
              <w:rPr>
                <w:rFonts w:hint="eastAsia" w:ascii="仿宋_GB2312" w:hAnsi="微软雅黑" w:eastAsia="仿宋_GB2312"/>
                <w:sz w:val="16"/>
                <w:szCs w:val="16"/>
              </w:rPr>
              <w:t>单位名称：南山区育才一小</w:t>
            </w:r>
          </w:p>
        </w:tc>
        <w:tc>
          <w:tcPr>
            <w:tcW w:w="2000" w:type="dxa"/>
            <w:tcBorders>
              <w:top w:val="nil"/>
              <w:left w:val="nil"/>
              <w:bottom w:val="single" w:color="auto" w:sz="4" w:space="0"/>
              <w:right w:val="nil"/>
            </w:tcBorders>
            <w:noWrap w:val="0"/>
            <w:vAlign w:val="top"/>
          </w:tcPr>
          <w:p>
            <w:pPr>
              <w:spacing w:line="220" w:lineRule="exact"/>
              <w:jc w:val="right"/>
              <w:rPr>
                <w:rFonts w:ascii="仿宋_GB2312" w:hAnsi="微软雅黑" w:eastAsia="仿宋_GB231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4500"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微软雅黑" w:eastAsia="黑体"/>
                <w:sz w:val="16"/>
                <w:szCs w:val="21"/>
              </w:rPr>
            </w:pPr>
            <w:r>
              <w:rPr>
                <w:rFonts w:hint="eastAsia" w:ascii="黑体" w:hAnsi="微软雅黑" w:eastAsia="黑体"/>
                <w:sz w:val="16"/>
                <w:szCs w:val="24"/>
              </w:rPr>
              <w:t>收入</w:t>
            </w:r>
          </w:p>
        </w:tc>
        <w:tc>
          <w:tcPr>
            <w:tcW w:w="4500"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黑体" w:hAnsi="微软雅黑" w:eastAsia="黑体"/>
                <w:sz w:val="16"/>
                <w:szCs w:val="21"/>
              </w:rPr>
            </w:pPr>
            <w:r>
              <w:rPr>
                <w:rFonts w:hint="eastAsia" w:ascii="黑体" w:hAnsi="微软雅黑" w:eastAsia="黑体"/>
                <w:sz w:val="16"/>
                <w:szCs w:val="24"/>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tcBorders>
            <w:noWrap w:val="0"/>
            <w:vAlign w:val="top"/>
          </w:tcPr>
          <w:p>
            <w:pPr>
              <w:spacing w:line="220" w:lineRule="exact"/>
              <w:jc w:val="center"/>
              <w:rPr>
                <w:rFonts w:ascii="黑体" w:eastAsia="黑体"/>
                <w:kern w:val="2"/>
                <w:sz w:val="16"/>
                <w:szCs w:val="21"/>
              </w:rPr>
            </w:pPr>
            <w:r>
              <w:rPr>
                <w:rFonts w:hint="eastAsia" w:ascii="黑体" w:hAnsi="微软雅黑" w:eastAsia="黑体"/>
                <w:sz w:val="16"/>
                <w:szCs w:val="24"/>
              </w:rPr>
              <w:t>项目</w:t>
            </w:r>
          </w:p>
        </w:tc>
        <w:tc>
          <w:tcPr>
            <w:tcW w:w="2000" w:type="dxa"/>
            <w:tcBorders>
              <w:top w:val="single" w:color="auto" w:sz="4" w:space="0"/>
            </w:tcBorders>
            <w:noWrap w:val="0"/>
            <w:vAlign w:val="top"/>
          </w:tcPr>
          <w:p>
            <w:pPr>
              <w:spacing w:line="220" w:lineRule="exact"/>
              <w:jc w:val="center"/>
              <w:rPr>
                <w:rFonts w:ascii="黑体" w:eastAsia="黑体"/>
                <w:kern w:val="2"/>
                <w:sz w:val="16"/>
                <w:szCs w:val="21"/>
              </w:rPr>
            </w:pPr>
            <w:r>
              <w:rPr>
                <w:rFonts w:hint="eastAsia" w:ascii="黑体" w:hAnsi="微软雅黑" w:eastAsia="黑体"/>
                <w:sz w:val="16"/>
                <w:szCs w:val="24"/>
              </w:rPr>
              <w:t>预算</w:t>
            </w:r>
          </w:p>
        </w:tc>
        <w:tc>
          <w:tcPr>
            <w:tcW w:w="2500" w:type="dxa"/>
            <w:tcBorders>
              <w:top w:val="single" w:color="auto" w:sz="4" w:space="0"/>
            </w:tcBorders>
            <w:noWrap w:val="0"/>
            <w:vAlign w:val="top"/>
          </w:tcPr>
          <w:p>
            <w:pPr>
              <w:spacing w:line="220" w:lineRule="exact"/>
              <w:jc w:val="center"/>
              <w:rPr>
                <w:rFonts w:ascii="黑体" w:eastAsia="黑体"/>
                <w:kern w:val="2"/>
                <w:sz w:val="16"/>
                <w:szCs w:val="21"/>
              </w:rPr>
            </w:pPr>
            <w:r>
              <w:rPr>
                <w:rFonts w:hint="eastAsia" w:ascii="黑体" w:hAnsi="微软雅黑" w:eastAsia="黑体"/>
                <w:sz w:val="16"/>
                <w:szCs w:val="24"/>
              </w:rPr>
              <w:t>项目</w:t>
            </w:r>
          </w:p>
        </w:tc>
        <w:tc>
          <w:tcPr>
            <w:tcW w:w="2000" w:type="dxa"/>
            <w:tcBorders>
              <w:top w:val="single" w:color="auto" w:sz="4" w:space="0"/>
            </w:tcBorders>
            <w:noWrap w:val="0"/>
            <w:vAlign w:val="top"/>
          </w:tcPr>
          <w:p>
            <w:pPr>
              <w:spacing w:line="220" w:lineRule="exact"/>
              <w:jc w:val="center"/>
              <w:rPr>
                <w:rFonts w:ascii="黑体" w:eastAsia="黑体"/>
                <w:kern w:val="2"/>
                <w:sz w:val="16"/>
                <w:szCs w:val="21"/>
              </w:rPr>
            </w:pPr>
            <w:r>
              <w:rPr>
                <w:rFonts w:hint="eastAsia" w:ascii="黑体" w:hAnsi="微软雅黑" w:eastAsia="黑体"/>
                <w:sz w:val="16"/>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一、财政预算拨款</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一、一般公共服务支出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一般公共预算财政拨款</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二、外交支出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一般性经费拨款</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三、国防支出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政府投资项目拨款</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四、公共安全支出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政府性基金预算财政拨款</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五、教育支出</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6,754.94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二、事业收入</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六、科学技术支出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三、事业单位经营收入</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七、文化旅游体育与传媒支出</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四、其他收入</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八、社会保障和就业支出</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1,244.97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五、上级补助收入</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九、卫生健康支出</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156.77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六、附属单位上缴收入</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十、节能环保支出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十一、城乡社区支出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十二、农林水支出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十三、交通运输支出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十四、资源勘探信息等支出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十五、商业服务业等支出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十六、金融支出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十七、援助其他地区支出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十八、自然资源海洋气象等支出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十九、住房保障支出</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1,171.33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二十、粮油物资储备支出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二十一、灾害防治及应急管理支出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二十二、其他支出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二十三、债务还本支出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二十四、债务付息支出</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本年收入合计</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本年支出合计</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八、用事业基金弥补收支差额</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九、上年结转</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结转下年</w:t>
            </w: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一般公共预算财政拨款</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政府性基金预算财政拨款</w:t>
            </w:r>
          </w:p>
        </w:tc>
        <w:tc>
          <w:tcPr>
            <w:tcW w:w="2000" w:type="dxa"/>
            <w:noWrap w:val="0"/>
            <w:vAlign w:val="top"/>
          </w:tcPr>
          <w:p>
            <w:pPr>
              <w:spacing w:line="220" w:lineRule="exact"/>
              <w:jc w:val="right"/>
              <w:rPr>
                <w:rFonts w:ascii="仿宋_GB2312" w:eastAsia="仿宋_GB2312"/>
                <w:kern w:val="2"/>
                <w:sz w:val="16"/>
                <w:szCs w:val="21"/>
              </w:rPr>
            </w:pPr>
          </w:p>
        </w:tc>
        <w:tc>
          <w:tcPr>
            <w:tcW w:w="2500" w:type="dxa"/>
            <w:noWrap w:val="0"/>
            <w:vAlign w:val="top"/>
          </w:tcPr>
          <w:p>
            <w:pPr>
              <w:spacing w:line="220" w:lineRule="exact"/>
              <w:jc w:val="left"/>
              <w:rPr>
                <w:rFonts w:ascii="仿宋_GB2312" w:eastAsia="仿宋_GB2312"/>
                <w:kern w:val="2"/>
                <w:sz w:val="16"/>
                <w:szCs w:val="21"/>
              </w:rPr>
            </w:pPr>
          </w:p>
        </w:tc>
        <w:tc>
          <w:tcPr>
            <w:tcW w:w="2000" w:type="dxa"/>
            <w:noWrap w:val="0"/>
            <w:vAlign w:val="top"/>
          </w:tcPr>
          <w:p>
            <w:pPr>
              <w:spacing w:line="220" w:lineRule="exact"/>
              <w:jc w:val="right"/>
              <w:rPr>
                <w:rFonts w:ascii="仿宋_GB2312" w:eastAsia="仿宋_GB2312"/>
                <w:kern w:val="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收   入   总   计</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20" w:lineRule="exact"/>
              <w:jc w:val="left"/>
              <w:rPr>
                <w:rFonts w:ascii="仿宋_GB2312" w:eastAsia="仿宋_GB2312"/>
                <w:kern w:val="2"/>
                <w:sz w:val="16"/>
                <w:szCs w:val="21"/>
              </w:rPr>
            </w:pPr>
            <w:r>
              <w:rPr>
                <w:rFonts w:hint="eastAsia" w:ascii="仿宋_GB2312" w:hAnsi="微软雅黑" w:eastAsia="仿宋_GB2312"/>
                <w:sz w:val="16"/>
                <w:szCs w:val="16"/>
              </w:rPr>
              <w:t xml:space="preserve">   支   出  总   计</w:t>
            </w:r>
          </w:p>
        </w:tc>
        <w:tc>
          <w:tcPr>
            <w:tcW w:w="2000" w:type="dxa"/>
            <w:noWrap w:val="0"/>
            <w:vAlign w:val="top"/>
          </w:tcPr>
          <w:p>
            <w:pPr>
              <w:spacing w:line="220" w:lineRule="exact"/>
              <w:jc w:val="right"/>
              <w:rPr>
                <w:rFonts w:ascii="仿宋_GB2312" w:eastAsia="仿宋_GB2312"/>
                <w:kern w:val="2"/>
                <w:sz w:val="16"/>
                <w:szCs w:val="21"/>
              </w:rPr>
            </w:pPr>
            <w:r>
              <w:rPr>
                <w:rFonts w:hint="eastAsia" w:ascii="仿宋_GB2312" w:hAnsi="微软雅黑" w:eastAsia="仿宋_GB2312"/>
                <w:sz w:val="16"/>
                <w:szCs w:val="16"/>
              </w:rPr>
              <w:t>9,336.02</w:t>
            </w:r>
          </w:p>
        </w:tc>
      </w:tr>
    </w:tbl>
    <w:p>
      <w:pPr>
        <w:pStyle w:val="5"/>
        <w:spacing w:after="312"/>
        <w:rPr>
          <w:rFonts w:hint="eastAsia"/>
        </w:rPr>
      </w:pPr>
    </w:p>
    <w:p>
      <w:pPr>
        <w:rPr>
          <w:rFonts w:hint="eastAsia"/>
        </w:rPr>
      </w:pPr>
    </w:p>
    <w:p>
      <w:pPr>
        <w:pStyle w:val="2"/>
        <w:rPr>
          <w:rFonts w:hint="eastAsia"/>
        </w:rPr>
      </w:pPr>
    </w:p>
    <w:p>
      <w:pPr>
        <w:pStyle w:val="5"/>
        <w:spacing w:after="312"/>
      </w:pPr>
      <w:r>
        <w:rPr>
          <w:rFonts w:hint="eastAsia"/>
        </w:rPr>
        <w:t>表二：部门收入总体情况表</w:t>
      </w:r>
    </w:p>
    <w:tbl>
      <w:tblPr>
        <w:tblStyle w:val="11"/>
        <w:tblW w:w="54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40"/>
        <w:gridCol w:w="1216"/>
        <w:gridCol w:w="717"/>
        <w:gridCol w:w="717"/>
        <w:gridCol w:w="732"/>
        <w:gridCol w:w="717"/>
        <w:gridCol w:w="732"/>
        <w:gridCol w:w="380"/>
        <w:gridCol w:w="380"/>
        <w:gridCol w:w="392"/>
        <w:gridCol w:w="379"/>
        <w:gridCol w:w="383"/>
        <w:gridCol w:w="392"/>
        <w:gridCol w:w="418"/>
        <w:gridCol w:w="402"/>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28" w:hRule="atLeast"/>
          <w:jc w:val="center"/>
        </w:trPr>
        <w:tc>
          <w:tcPr>
            <w:tcW w:w="8295" w:type="dxa"/>
            <w:gridSpan w:val="14"/>
            <w:tcBorders>
              <w:top w:val="nil"/>
              <w:left w:val="nil"/>
              <w:bottom w:val="single" w:color="auto" w:sz="4" w:space="0"/>
              <w:right w:val="nil"/>
            </w:tcBorders>
            <w:noWrap w:val="0"/>
            <w:vAlign w:val="top"/>
          </w:tcPr>
          <w:p>
            <w:pPr>
              <w:spacing w:line="240" w:lineRule="exact"/>
              <w:jc w:val="left"/>
              <w:rPr>
                <w:rFonts w:ascii="仿宋_GB2312" w:hAnsi="微软雅黑" w:eastAsia="仿宋_GB2312"/>
                <w:sz w:val="16"/>
                <w:szCs w:val="21"/>
              </w:rPr>
            </w:pPr>
            <w:r>
              <w:rPr>
                <w:rFonts w:hint="eastAsia" w:ascii="仿宋_GB2312" w:hAnsi="微软雅黑" w:eastAsia="仿宋_GB2312"/>
                <w:sz w:val="16"/>
                <w:szCs w:val="16"/>
              </w:rPr>
              <w:t>单位名称：南山区育才一小</w:t>
            </w:r>
          </w:p>
        </w:tc>
        <w:tc>
          <w:tcPr>
            <w:tcW w:w="824" w:type="dxa"/>
            <w:gridSpan w:val="2"/>
            <w:tcBorders>
              <w:top w:val="nil"/>
              <w:left w:val="nil"/>
              <w:bottom w:val="single" w:color="auto" w:sz="4" w:space="0"/>
              <w:right w:val="nil"/>
            </w:tcBorders>
            <w:noWrap w:val="0"/>
            <w:vAlign w:val="top"/>
          </w:tcPr>
          <w:p>
            <w:pPr>
              <w:spacing w:line="240" w:lineRule="exact"/>
              <w:jc w:val="right"/>
              <w:rPr>
                <w:rFonts w:ascii="仿宋_GB2312" w:hAnsi="微软雅黑" w:eastAsia="仿宋_GB231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2" w:hRule="atLeast"/>
          <w:jc w:val="center"/>
        </w:trPr>
        <w:tc>
          <w:tcPr>
            <w:tcW w:w="74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单位代码</w:t>
            </w:r>
          </w:p>
        </w:tc>
        <w:tc>
          <w:tcPr>
            <w:tcW w:w="1216"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单位名称</w:t>
            </w:r>
          </w:p>
        </w:tc>
        <w:tc>
          <w:tcPr>
            <w:tcW w:w="717"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总计</w:t>
            </w:r>
          </w:p>
        </w:tc>
        <w:tc>
          <w:tcPr>
            <w:tcW w:w="4812" w:type="dxa"/>
            <w:gridSpan w:val="9"/>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本年收入</w:t>
            </w:r>
          </w:p>
        </w:tc>
        <w:tc>
          <w:tcPr>
            <w:tcW w:w="39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上级补助收入</w:t>
            </w:r>
          </w:p>
        </w:tc>
        <w:tc>
          <w:tcPr>
            <w:tcW w:w="41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附属单位上缴收入</w:t>
            </w:r>
          </w:p>
        </w:tc>
        <w:tc>
          <w:tcPr>
            <w:tcW w:w="40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用事业基金弥补收支差额</w:t>
            </w:r>
          </w:p>
        </w:tc>
        <w:tc>
          <w:tcPr>
            <w:tcW w:w="42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上年结转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2" w:hRule="atLeast"/>
          <w:jc w:val="center"/>
        </w:trPr>
        <w:tc>
          <w:tcPr>
            <w:tcW w:w="740"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1216"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vMerge w:val="restart"/>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合计</w:t>
            </w:r>
          </w:p>
        </w:tc>
        <w:tc>
          <w:tcPr>
            <w:tcW w:w="2941" w:type="dxa"/>
            <w:gridSpan w:val="5"/>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财政预算拨款</w:t>
            </w:r>
          </w:p>
        </w:tc>
        <w:tc>
          <w:tcPr>
            <w:tcW w:w="392" w:type="dxa"/>
            <w:vMerge w:val="restart"/>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事业收入</w:t>
            </w:r>
          </w:p>
        </w:tc>
        <w:tc>
          <w:tcPr>
            <w:tcW w:w="379" w:type="dxa"/>
            <w:vMerge w:val="restart"/>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事业单位经营收入</w:t>
            </w:r>
          </w:p>
        </w:tc>
        <w:tc>
          <w:tcPr>
            <w:tcW w:w="383" w:type="dxa"/>
            <w:vMerge w:val="restart"/>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其他收入</w:t>
            </w:r>
          </w:p>
        </w:tc>
        <w:tc>
          <w:tcPr>
            <w:tcW w:w="39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18"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0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2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2" w:hRule="atLeast"/>
          <w:jc w:val="center"/>
        </w:trPr>
        <w:tc>
          <w:tcPr>
            <w:tcW w:w="740"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1216"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32" w:type="dxa"/>
            <w:vMerge w:val="restart"/>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合计</w:t>
            </w:r>
          </w:p>
        </w:tc>
        <w:tc>
          <w:tcPr>
            <w:tcW w:w="1829" w:type="dxa"/>
            <w:gridSpan w:val="3"/>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一般公共预算拨款</w:t>
            </w:r>
          </w:p>
        </w:tc>
        <w:tc>
          <w:tcPr>
            <w:tcW w:w="380" w:type="dxa"/>
            <w:vMerge w:val="restart"/>
            <w:tcBorders>
              <w:left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政府性基金拨款</w:t>
            </w:r>
          </w:p>
        </w:tc>
        <w:tc>
          <w:tcPr>
            <w:tcW w:w="39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79"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83"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9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18"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0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22" w:type="dxa"/>
            <w:vMerge w:val="continue"/>
            <w:tcBorders>
              <w:left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36" w:hRule="atLeast"/>
          <w:jc w:val="center"/>
        </w:trPr>
        <w:tc>
          <w:tcPr>
            <w:tcW w:w="7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121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3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717"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小计</w:t>
            </w:r>
          </w:p>
        </w:tc>
        <w:tc>
          <w:tcPr>
            <w:tcW w:w="732"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一般性经费拨款</w:t>
            </w:r>
          </w:p>
        </w:tc>
        <w:tc>
          <w:tcPr>
            <w:tcW w:w="38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6"/>
                <w:szCs w:val="21"/>
              </w:rPr>
            </w:pPr>
            <w:r>
              <w:rPr>
                <w:rFonts w:hint="eastAsia" w:ascii="黑体" w:hAnsi="黑体" w:eastAsia="黑体"/>
                <w:sz w:val="16"/>
                <w:szCs w:val="12"/>
              </w:rPr>
              <w:t>政府投资项目</w:t>
            </w:r>
          </w:p>
        </w:tc>
        <w:tc>
          <w:tcPr>
            <w:tcW w:w="3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9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8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39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1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0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c>
          <w:tcPr>
            <w:tcW w:w="42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12" w:hRule="atLeast"/>
          <w:jc w:val="center"/>
        </w:trPr>
        <w:tc>
          <w:tcPr>
            <w:tcW w:w="74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020052</w:t>
            </w:r>
          </w:p>
        </w:tc>
        <w:tc>
          <w:tcPr>
            <w:tcW w:w="1216"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南山区育才一小</w:t>
            </w:r>
          </w:p>
        </w:tc>
        <w:tc>
          <w:tcPr>
            <w:tcW w:w="717"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717"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732"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717"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732"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38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38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392"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379"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383"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392"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418"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402"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422"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bl>
    <w:p>
      <w:pPr>
        <w:jc w:val="center"/>
        <w:rPr>
          <w:rFonts w:hint="eastAsia" w:ascii="黑体" w:hAnsi="黑体" w:eastAsia="黑体"/>
          <w:sz w:val="28"/>
          <w:szCs w:val="28"/>
        </w:rPr>
      </w:pPr>
    </w:p>
    <w:p>
      <w:pPr>
        <w:pStyle w:val="5"/>
        <w:spacing w:after="312"/>
      </w:pPr>
      <w:r>
        <w:rPr>
          <w:rFonts w:hint="eastAsia"/>
        </w:rPr>
        <w:t>表三：部门支出总体情况表（按功能分类）</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93"/>
        <w:gridCol w:w="2787"/>
        <w:gridCol w:w="1394"/>
        <w:gridCol w:w="139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500" w:type="dxa"/>
            <w:gridSpan w:val="4"/>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1500"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科目编码</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预算数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基本支出</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4500" w:type="dxa"/>
            <w:gridSpan w:val="2"/>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1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1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7,447.57</w:t>
            </w:r>
          </w:p>
        </w:tc>
        <w:tc>
          <w:tcPr>
            <w:tcW w:w="1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1,888.45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教育支出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6,754.94</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4,886.49</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1,868.45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20502</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普通教育</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5,951.33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4,886.49</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1,064.83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2050202</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小学教育</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5,951.33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4,886.49</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1,064.83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20509</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教育费附加安排的支出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2050999</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其他教育费附加安排的支出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207</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文化旅游体育与传媒支出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20799</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其他文化旅游体育与传媒支出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2079902</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宣传文化发展专项支出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社会保障和就业支出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1,244.97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1,232.97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行政事业单位养老支出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1,244.97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1,232.97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2080502</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事业单位离退休</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673.98</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661.98</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2080505</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机关事业单位基本养老保险缴费支出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380.66</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380.66</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2080506</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机关事业单位职业年金缴费支出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190.33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190.33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210</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卫生健康支出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21011</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行政事业单位医疗</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2101102</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事业单位医疗</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住房保障支出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22102</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住房改革支出</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2210201</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住房公积金</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534.76</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534.76</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2210203</w:t>
            </w:r>
          </w:p>
        </w:tc>
        <w:tc>
          <w:tcPr>
            <w:tcW w:w="3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购房补贴</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636.57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636.57</w:t>
            </w:r>
          </w:p>
        </w:tc>
        <w:tc>
          <w:tcPr>
            <w:tcW w:w="1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bl>
    <w:p>
      <w:pPr>
        <w:jc w:val="center"/>
        <w:rPr>
          <w:rFonts w:hint="eastAsia" w:ascii="黑体" w:hAnsi="黑体" w:eastAsia="黑体"/>
          <w:sz w:val="28"/>
          <w:szCs w:val="28"/>
        </w:rPr>
      </w:pPr>
    </w:p>
    <w:p>
      <w:pPr>
        <w:pStyle w:val="5"/>
        <w:spacing w:after="312"/>
      </w:pPr>
      <w:r>
        <w:rPr>
          <w:rFonts w:hint="eastAsia"/>
        </w:rPr>
        <w:t>表四：财政拨款收支总体情况表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322"/>
        <w:gridCol w:w="1859"/>
        <w:gridCol w:w="2322"/>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00" w:type="dxa"/>
            <w:gridSpan w:val="3"/>
            <w:tcBorders>
              <w:top w:val="nil"/>
              <w:left w:val="nil"/>
              <w:bottom w:val="single" w:color="auto" w:sz="4" w:space="0"/>
              <w:right w:val="nil"/>
            </w:tcBorders>
            <w:noWrap w:val="0"/>
            <w:vAlign w:val="top"/>
          </w:tcPr>
          <w:p>
            <w:pPr>
              <w:spacing w:line="240" w:lineRule="exact"/>
              <w:jc w:val="left"/>
              <w:rPr>
                <w:rFonts w:ascii="仿宋_GB2312" w:hAnsi="微软雅黑" w:eastAsia="仿宋_GB2312"/>
                <w:sz w:val="16"/>
                <w:szCs w:val="21"/>
              </w:rPr>
            </w:pPr>
            <w:r>
              <w:rPr>
                <w:rFonts w:hint="eastAsia" w:ascii="仿宋_GB2312" w:hAnsi="微软雅黑" w:eastAsia="仿宋_GB2312"/>
                <w:sz w:val="16"/>
                <w:szCs w:val="16"/>
              </w:rPr>
              <w:t>单位名称：南山区育才一小</w:t>
            </w:r>
          </w:p>
        </w:tc>
        <w:tc>
          <w:tcPr>
            <w:tcW w:w="2000" w:type="dxa"/>
            <w:tcBorders>
              <w:top w:val="nil"/>
              <w:left w:val="nil"/>
              <w:bottom w:val="single" w:color="auto" w:sz="4" w:space="0"/>
              <w:right w:val="nil"/>
            </w:tcBorders>
            <w:noWrap w:val="0"/>
            <w:vAlign w:val="top"/>
          </w:tcPr>
          <w:p>
            <w:pPr>
              <w:spacing w:line="240" w:lineRule="exact"/>
              <w:jc w:val="right"/>
              <w:rPr>
                <w:rFonts w:ascii="仿宋_GB2312" w:hAnsi="微软雅黑" w:eastAsia="仿宋_GB231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4500"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收入</w:t>
            </w:r>
          </w:p>
        </w:tc>
        <w:tc>
          <w:tcPr>
            <w:tcW w:w="4500"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w:t>
            </w:r>
          </w:p>
        </w:tc>
        <w:tc>
          <w:tcPr>
            <w:tcW w:w="20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预算</w:t>
            </w:r>
          </w:p>
        </w:tc>
        <w:tc>
          <w:tcPr>
            <w:tcW w:w="25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w:t>
            </w:r>
          </w:p>
        </w:tc>
        <w:tc>
          <w:tcPr>
            <w:tcW w:w="20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一、财政预算拨款</w:t>
            </w:r>
          </w:p>
        </w:tc>
        <w:tc>
          <w:tcPr>
            <w:tcW w:w="20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一、一般公共服务支出</w:t>
            </w:r>
          </w:p>
        </w:tc>
        <w:tc>
          <w:tcPr>
            <w:tcW w:w="20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一般公共预算财政拨款</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二、外交支出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一般性经费拨款</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三、国防支出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政府投资项目拨款</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四、公共安全支出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政府性基金预算财政拨款</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五、教育支出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6,754.95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六、科学技术支出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七、文化旅游体育与传媒支出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八、社会保障和就业支出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九、卫生健康支出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十、节能环保支出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十一、城乡社区支出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十二、农林水支出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十三、交通运输支出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十四、资源勘探信息等支出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十五、商业服务业等支出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十六、金融支出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十七、援助其他地区支出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十八、自然资源海洋气象等支出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十九、住房保障支出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二十、粮油物资储备支出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二十一、灾害防治及应急管理支出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二十二、其他支出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二十三、债务还本支出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二十四、债务付息支出</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本年收入合计</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本年支出合计</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二、上年结转</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结转下年</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一般公共预算财政拨款</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政府性基金预算财政拨款</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2500" w:type="dxa"/>
            <w:noWrap w:val="0"/>
            <w:vAlign w:val="top"/>
          </w:tcPr>
          <w:p>
            <w:pPr>
              <w:spacing w:line="240" w:lineRule="exact"/>
              <w:jc w:val="left"/>
              <w:rPr>
                <w:rFonts w:ascii="仿宋_GB2312" w:eastAsia="仿宋_GB2312"/>
                <w:kern w:val="2"/>
                <w:sz w:val="16"/>
                <w:szCs w:val="21"/>
              </w:rPr>
            </w:pP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收    入    总    计</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支    出    总    计</w:t>
            </w:r>
          </w:p>
        </w:tc>
        <w:tc>
          <w:tcPr>
            <w:tcW w:w="20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r>
    </w:tbl>
    <w:p>
      <w:pPr>
        <w:jc w:val="center"/>
        <w:rPr>
          <w:rFonts w:hint="eastAsia" w:ascii="黑体" w:hAnsi="黑体" w:eastAsia="黑体"/>
          <w:sz w:val="28"/>
          <w:szCs w:val="28"/>
        </w:rPr>
      </w:pPr>
    </w:p>
    <w:p>
      <w:pPr>
        <w:pStyle w:val="5"/>
        <w:spacing w:after="312"/>
      </w:pPr>
      <w:r>
        <w:br w:type="page"/>
      </w:r>
      <w:r>
        <w:rPr>
          <w:rFonts w:hint="eastAsia"/>
        </w:rPr>
        <w:t>表五：一般公共预算支出情况表（按功能科目分类）</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284"/>
        <w:gridCol w:w="2357"/>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332" w:type="dxa"/>
            <w:gridSpan w:val="3"/>
            <w:tcBorders>
              <w:top w:val="nil"/>
              <w:left w:val="nil"/>
              <w:bottom w:val="single" w:color="auto" w:sz="4" w:space="0"/>
              <w:right w:val="nil"/>
            </w:tcBorders>
            <w:noWrap w:val="0"/>
            <w:vAlign w:val="top"/>
          </w:tcPr>
          <w:p>
            <w:pPr>
              <w:spacing w:line="240" w:lineRule="exact"/>
              <w:jc w:val="left"/>
              <w:rPr>
                <w:rFonts w:ascii="仿宋_GB2312" w:hAnsi="微软雅黑" w:eastAsia="仿宋_GB2312"/>
                <w:sz w:val="16"/>
                <w:szCs w:val="21"/>
              </w:rPr>
            </w:pPr>
            <w:r>
              <w:rPr>
                <w:rFonts w:hint="eastAsia" w:ascii="仿宋_GB2312" w:hAnsi="微软雅黑" w:eastAsia="仿宋_GB2312"/>
                <w:sz w:val="16"/>
                <w:szCs w:val="16"/>
              </w:rPr>
              <w:t>单位名称：南山区育才一小</w:t>
            </w:r>
          </w:p>
        </w:tc>
        <w:tc>
          <w:tcPr>
            <w:tcW w:w="2668" w:type="dxa"/>
            <w:gridSpan w:val="2"/>
            <w:tcBorders>
              <w:top w:val="nil"/>
              <w:left w:val="nil"/>
              <w:bottom w:val="single" w:color="auto" w:sz="4" w:space="0"/>
              <w:right w:val="nil"/>
            </w:tcBorders>
            <w:noWrap w:val="0"/>
            <w:vAlign w:val="top"/>
          </w:tcPr>
          <w:p>
            <w:pPr>
              <w:spacing w:line="240" w:lineRule="exact"/>
              <w:jc w:val="right"/>
              <w:rPr>
                <w:rFonts w:ascii="仿宋_GB2312" w:hAnsi="微软雅黑" w:eastAsia="仿宋_GB231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科目编码</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预算数</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基本支出</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3795" w:type="dxa"/>
            <w:gridSpan w:val="2"/>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2537"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9,336.02</w:t>
            </w:r>
          </w:p>
        </w:tc>
        <w:tc>
          <w:tcPr>
            <w:tcW w:w="1334"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7,447.57</w:t>
            </w:r>
          </w:p>
        </w:tc>
        <w:tc>
          <w:tcPr>
            <w:tcW w:w="1334"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1,888.45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教育支出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6,754.95</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4,886.49</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1,868.45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20502</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普通教育</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5,951.33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4,886.49</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1,064.83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2050202</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小学教育</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5,951.33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4,886.49</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1,064.83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20509</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教育费附加安排的支出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2050999</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其他教育费附加安排的支出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207</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文化旅游体育与传媒支出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20799</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其他文化旅游体育与传媒支出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2079902</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宣传文化发展专项支出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社会保障和就业支出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1,244.97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1,232.97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行政事业单位养老支出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1,244.97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1,232.97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2080502</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事业单位离退休</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673.98</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661.98</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2080505</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机关事业单位基本养老保险缴费支出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380.66</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380.66</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2080506</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机关事业单位职业年金缴费支出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190.33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190.33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210</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卫生健康支出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21011</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行政事业单位医疗</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2101102</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事业单位医疗</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156.77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住房保障支出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22102</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住房改革支出</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1,171.33</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2210201</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住房公积金</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534.76</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534.76</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37"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2210203</w:t>
            </w:r>
          </w:p>
        </w:tc>
        <w:tc>
          <w:tcPr>
            <w:tcW w:w="2458"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购房补贴</w:t>
            </w:r>
          </w:p>
        </w:tc>
        <w:tc>
          <w:tcPr>
            <w:tcW w:w="2537"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636.57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636.57</w:t>
            </w:r>
          </w:p>
        </w:tc>
        <w:tc>
          <w:tcPr>
            <w:tcW w:w="1334"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bl>
    <w:p>
      <w:pPr>
        <w:jc w:val="center"/>
        <w:rPr>
          <w:rFonts w:hint="eastAsia" w:ascii="黑体" w:hAnsi="黑体" w:eastAsia="黑体"/>
          <w:sz w:val="28"/>
          <w:szCs w:val="28"/>
        </w:rPr>
      </w:pPr>
    </w:p>
    <w:p>
      <w:pPr>
        <w:pStyle w:val="5"/>
        <w:spacing w:after="312"/>
      </w:pPr>
      <w:r>
        <w:rPr>
          <w:rFonts w:hint="eastAsia"/>
        </w:rPr>
        <w:t>表六：一般公共预算基本支出情况表（按经济科目分类）</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323"/>
        <w:gridCol w:w="371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500" w:type="dxa"/>
            <w:gridSpan w:val="2"/>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2500"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科目编码</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一般公共预算拨款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4000" w:type="dxa"/>
            <w:tcBorders>
              <w:top w:val="single" w:color="auto" w:sz="4" w:space="0"/>
            </w:tcBorders>
            <w:noWrap w:val="0"/>
            <w:vAlign w:val="top"/>
          </w:tcPr>
          <w:p>
            <w:pPr>
              <w:spacing w:line="240" w:lineRule="exact"/>
              <w:jc w:val="left"/>
              <w:rPr>
                <w:rFonts w:ascii="仿宋_GB2312" w:eastAsia="仿宋_GB2312"/>
                <w:kern w:val="2"/>
                <w:sz w:val="16"/>
                <w:szCs w:val="21"/>
              </w:rPr>
            </w:pPr>
          </w:p>
        </w:tc>
        <w:tc>
          <w:tcPr>
            <w:tcW w:w="2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7,447.57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301</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工资福利支出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5,061.39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30101</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基本工资</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津贴补贴</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2,529.27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30103</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奖金</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30107</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绩效工资</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30108</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机关事业单位基本养老保险缴费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30109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职业年金缴费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190.33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30110</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职工基本医疗保险缴费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30112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其他社会保障缴费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30113</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住房公积金</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534.76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30198</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其他工资福利支出（自聘人员）</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30199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其他工资福利支出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302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商品和服务支出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30201</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办公费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印刷费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30205</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水费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30206</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电费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30207</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邮电费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30214</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租赁费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30216</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培训费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30226</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劳务费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30228</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工会经费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36.03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30229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福利费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30299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其他商品和服务支出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94.35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303</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对个人和家庭的补助支出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2,084.42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30302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退休费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650.37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30305</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生活补助</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30309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奖励金</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1,431.55</w:t>
            </w:r>
          </w:p>
        </w:tc>
      </w:tr>
    </w:tbl>
    <w:p>
      <w:pPr>
        <w:jc w:val="center"/>
        <w:rPr>
          <w:rFonts w:hint="eastAsia" w:ascii="黑体" w:hAnsi="黑体" w:eastAsia="黑体"/>
          <w:sz w:val="28"/>
          <w:szCs w:val="28"/>
        </w:rPr>
      </w:pPr>
    </w:p>
    <w:p>
      <w:pPr>
        <w:pStyle w:val="5"/>
        <w:spacing w:after="312"/>
      </w:pPr>
      <w:r>
        <w:rPr>
          <w:rFonts w:hint="eastAsia"/>
        </w:rPr>
        <w:t>表七：一般公共预算“三公”经费支出情况表</w:t>
      </w:r>
    </w:p>
    <w:tbl>
      <w:tblPr>
        <w:tblStyle w:val="11"/>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095"/>
        <w:gridCol w:w="374"/>
        <w:gridCol w:w="598"/>
        <w:gridCol w:w="912"/>
        <w:gridCol w:w="480"/>
        <w:gridCol w:w="706"/>
        <w:gridCol w:w="1130"/>
        <w:gridCol w:w="378"/>
        <w:gridCol w:w="570"/>
        <w:gridCol w:w="701"/>
        <w:gridCol w:w="163"/>
        <w:gridCol w:w="492"/>
        <w:gridCol w:w="76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7" w:type="dxa"/>
          <w:trHeight w:val="198" w:hRule="atLeast"/>
          <w:jc w:val="center"/>
        </w:trPr>
        <w:tc>
          <w:tcPr>
            <w:tcW w:w="6944" w:type="dxa"/>
            <w:gridSpan w:val="10"/>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1418" w:type="dxa"/>
            <w:gridSpan w:val="3"/>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4165"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6"/>
              </w:rPr>
            </w:pPr>
            <w:r>
              <w:rPr>
                <w:rFonts w:hint="eastAsia" w:ascii="黑体" w:hAnsi="黑体" w:eastAsia="黑体"/>
                <w:sz w:val="16"/>
                <w:szCs w:val="16"/>
              </w:rPr>
              <w:t>2020年预算</w:t>
            </w:r>
          </w:p>
        </w:tc>
        <w:tc>
          <w:tcPr>
            <w:tcW w:w="4204"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6"/>
              </w:rPr>
            </w:pPr>
            <w:r>
              <w:rPr>
                <w:rFonts w:hint="eastAsia" w:ascii="黑体" w:hAnsi="黑体" w:eastAsia="黑体"/>
                <w:sz w:val="16"/>
                <w:szCs w:val="16"/>
              </w:rPr>
              <w:t>2021年预算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“三公”经费一般公共预算总额</w:t>
            </w:r>
          </w:p>
        </w:tc>
        <w:tc>
          <w:tcPr>
            <w:tcW w:w="188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公务用车购置及运行维护费</w:t>
            </w:r>
          </w:p>
        </w:tc>
        <w:tc>
          <w:tcPr>
            <w:tcW w:w="4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公务接待费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 xml:space="preserve">因 公 出 国 （境）费 </w:t>
            </w:r>
          </w:p>
        </w:tc>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 xml:space="preserve"> “三公”经费一般公共预算总额 </w:t>
            </w: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公务用车购置及运行维护费</w:t>
            </w:r>
          </w:p>
        </w:tc>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 xml:space="preserve">公务接待费 </w:t>
            </w:r>
          </w:p>
        </w:tc>
        <w:tc>
          <w:tcPr>
            <w:tcW w:w="7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 xml:space="preserve">因 公 出 国 （境）费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4" w:hRule="atLeast"/>
          <w:jc w:val="center"/>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08"/>
              <w:jc w:val="center"/>
              <w:rPr>
                <w:rFonts w:ascii="黑体" w:hAnsi="黑体" w:eastAsia="黑体"/>
                <w:sz w:val="16"/>
                <w:szCs w:val="22"/>
              </w:rPr>
            </w:pPr>
          </w:p>
        </w:tc>
        <w:tc>
          <w:tcPr>
            <w:tcW w:w="3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小计</w:t>
            </w:r>
          </w:p>
        </w:tc>
        <w:tc>
          <w:tcPr>
            <w:tcW w:w="59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公车购置费</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公务用车运行维护费</w:t>
            </w:r>
          </w:p>
        </w:tc>
        <w:tc>
          <w:tcPr>
            <w:tcW w:w="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小计</w:t>
            </w: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公车购置费</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黑体" w:hAnsi="黑体" w:eastAsia="黑体"/>
                <w:spacing w:val="0"/>
                <w:kern w:val="0"/>
                <w:sz w:val="16"/>
                <w:szCs w:val="12"/>
              </w:rPr>
            </w:pPr>
            <w:r>
              <w:rPr>
                <w:rFonts w:hint="eastAsia" w:ascii="黑体" w:hAnsi="黑体" w:eastAsia="黑体"/>
                <w:spacing w:val="0"/>
                <w:kern w:val="0"/>
                <w:sz w:val="16"/>
                <w:szCs w:val="12"/>
              </w:rPr>
              <w:t>公务用车运行维护费</w:t>
            </w:r>
          </w:p>
        </w:tc>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rPr>
            </w:pPr>
          </w:p>
        </w:tc>
        <w:tc>
          <w:tcPr>
            <w:tcW w:w="7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095" w:type="dxa"/>
            <w:tcBorders>
              <w:top w:val="single" w:color="auto" w:sz="4" w:space="0"/>
            </w:tcBorders>
            <w:noWrap w:val="0"/>
            <w:vAlign w:val="top"/>
          </w:tcPr>
          <w:p>
            <w:pPr>
              <w:spacing w:line="240" w:lineRule="exact"/>
              <w:ind w:firstLine="320" w:firstLineChars="200"/>
              <w:jc w:val="right"/>
              <w:rPr>
                <w:rFonts w:ascii="仿宋_GB2312" w:eastAsia="仿宋_GB2312"/>
                <w:sz w:val="16"/>
              </w:rPr>
            </w:pPr>
            <w:r>
              <w:rPr>
                <w:rFonts w:hint="eastAsia"/>
                <w:sz w:val="16"/>
              </w:rPr>
              <w:t>0.00</w:t>
            </w:r>
          </w:p>
        </w:tc>
        <w:tc>
          <w:tcPr>
            <w:tcW w:w="374" w:type="dxa"/>
            <w:tcBorders>
              <w:top w:val="single" w:color="auto" w:sz="4" w:space="0"/>
            </w:tcBorders>
            <w:noWrap w:val="0"/>
            <w:vAlign w:val="top"/>
          </w:tcPr>
          <w:p>
            <w:pPr>
              <w:spacing w:line="240" w:lineRule="exact"/>
              <w:ind w:firstLine="0" w:firstLineChars="0"/>
              <w:jc w:val="right"/>
              <w:rPr>
                <w:rFonts w:ascii="仿宋_GB2312" w:eastAsia="仿宋_GB2312"/>
                <w:sz w:val="16"/>
              </w:rPr>
            </w:pPr>
            <w:r>
              <w:rPr>
                <w:rFonts w:hint="eastAsia"/>
                <w:sz w:val="16"/>
              </w:rPr>
              <w:t>0.00</w:t>
            </w:r>
          </w:p>
        </w:tc>
        <w:tc>
          <w:tcPr>
            <w:tcW w:w="598" w:type="dxa"/>
            <w:tcBorders>
              <w:top w:val="single" w:color="auto" w:sz="4" w:space="0"/>
            </w:tcBorders>
            <w:noWrap w:val="0"/>
            <w:vAlign w:val="top"/>
          </w:tcPr>
          <w:p>
            <w:pPr>
              <w:spacing w:line="240" w:lineRule="exact"/>
              <w:ind w:firstLine="0" w:firstLineChars="0"/>
              <w:jc w:val="right"/>
              <w:rPr>
                <w:rFonts w:ascii="仿宋_GB2312" w:eastAsia="仿宋_GB2312"/>
                <w:sz w:val="16"/>
              </w:rPr>
            </w:pPr>
            <w:r>
              <w:rPr>
                <w:rFonts w:hint="eastAsia"/>
                <w:sz w:val="16"/>
              </w:rPr>
              <w:t>0.00</w:t>
            </w:r>
          </w:p>
        </w:tc>
        <w:tc>
          <w:tcPr>
            <w:tcW w:w="912" w:type="dxa"/>
            <w:tcBorders>
              <w:top w:val="single" w:color="auto" w:sz="4" w:space="0"/>
            </w:tcBorders>
            <w:noWrap w:val="0"/>
            <w:vAlign w:val="top"/>
          </w:tcPr>
          <w:p>
            <w:pPr>
              <w:spacing w:line="240" w:lineRule="exact"/>
              <w:ind w:firstLine="320" w:firstLineChars="200"/>
              <w:jc w:val="right"/>
              <w:rPr>
                <w:rFonts w:ascii="仿宋_GB2312" w:eastAsia="仿宋_GB2312"/>
                <w:sz w:val="16"/>
              </w:rPr>
            </w:pPr>
            <w:r>
              <w:rPr>
                <w:rFonts w:hint="eastAsia"/>
                <w:sz w:val="16"/>
              </w:rPr>
              <w:t>0.00</w:t>
            </w:r>
          </w:p>
        </w:tc>
        <w:tc>
          <w:tcPr>
            <w:tcW w:w="480" w:type="dxa"/>
            <w:tcBorders>
              <w:top w:val="single" w:color="auto" w:sz="4" w:space="0"/>
            </w:tcBorders>
            <w:noWrap w:val="0"/>
            <w:vAlign w:val="top"/>
          </w:tcPr>
          <w:p>
            <w:pPr>
              <w:spacing w:line="240" w:lineRule="exact"/>
              <w:ind w:firstLine="0" w:firstLineChars="0"/>
              <w:jc w:val="right"/>
              <w:rPr>
                <w:rFonts w:ascii="仿宋_GB2312" w:eastAsia="仿宋_GB2312"/>
                <w:sz w:val="16"/>
              </w:rPr>
            </w:pPr>
            <w:r>
              <w:rPr>
                <w:rFonts w:hint="eastAsia"/>
                <w:sz w:val="16"/>
              </w:rPr>
              <w:t>0.00</w:t>
            </w:r>
          </w:p>
        </w:tc>
        <w:tc>
          <w:tcPr>
            <w:tcW w:w="706" w:type="dxa"/>
            <w:tcBorders>
              <w:top w:val="single" w:color="auto" w:sz="4" w:space="0"/>
            </w:tcBorders>
            <w:noWrap w:val="0"/>
            <w:vAlign w:val="top"/>
          </w:tcPr>
          <w:p>
            <w:pPr>
              <w:spacing w:line="240" w:lineRule="exact"/>
              <w:ind w:firstLine="320" w:firstLineChars="200"/>
              <w:jc w:val="right"/>
              <w:rPr>
                <w:rFonts w:ascii="仿宋_GB2312" w:eastAsia="仿宋_GB2312"/>
                <w:sz w:val="16"/>
              </w:rPr>
            </w:pPr>
            <w:r>
              <w:rPr>
                <w:rFonts w:hint="eastAsia"/>
                <w:sz w:val="16"/>
              </w:rPr>
              <w:t>0.00</w:t>
            </w:r>
          </w:p>
        </w:tc>
        <w:tc>
          <w:tcPr>
            <w:tcW w:w="1130" w:type="dxa"/>
            <w:tcBorders>
              <w:top w:val="single" w:color="auto" w:sz="4" w:space="0"/>
            </w:tcBorders>
            <w:noWrap w:val="0"/>
            <w:vAlign w:val="top"/>
          </w:tcPr>
          <w:p>
            <w:pPr>
              <w:spacing w:line="240" w:lineRule="exact"/>
              <w:ind w:firstLine="320" w:firstLineChars="200"/>
              <w:jc w:val="right"/>
              <w:rPr>
                <w:rFonts w:ascii="仿宋_GB2312" w:eastAsia="仿宋_GB2312"/>
                <w:sz w:val="16"/>
              </w:rPr>
            </w:pPr>
            <w:r>
              <w:rPr>
                <w:rFonts w:hint="eastAsia"/>
                <w:sz w:val="16"/>
              </w:rPr>
              <w:t>0.00</w:t>
            </w:r>
          </w:p>
        </w:tc>
        <w:tc>
          <w:tcPr>
            <w:tcW w:w="378" w:type="dxa"/>
            <w:tcBorders>
              <w:top w:val="single" w:color="auto" w:sz="4" w:space="0"/>
            </w:tcBorders>
            <w:noWrap w:val="0"/>
            <w:vAlign w:val="top"/>
          </w:tcPr>
          <w:p>
            <w:pPr>
              <w:spacing w:line="240" w:lineRule="exact"/>
              <w:ind w:firstLine="0" w:firstLineChars="0"/>
              <w:jc w:val="right"/>
              <w:rPr>
                <w:rFonts w:ascii="仿宋_GB2312" w:eastAsia="仿宋_GB2312"/>
                <w:sz w:val="16"/>
              </w:rPr>
            </w:pPr>
            <w:r>
              <w:rPr>
                <w:rFonts w:hint="eastAsia"/>
                <w:sz w:val="16"/>
              </w:rPr>
              <w:t>0.00</w:t>
            </w:r>
          </w:p>
        </w:tc>
        <w:tc>
          <w:tcPr>
            <w:tcW w:w="570" w:type="dxa"/>
            <w:tcBorders>
              <w:top w:val="single" w:color="auto" w:sz="4" w:space="0"/>
            </w:tcBorders>
            <w:noWrap w:val="0"/>
            <w:vAlign w:val="top"/>
          </w:tcPr>
          <w:p>
            <w:pPr>
              <w:spacing w:line="240" w:lineRule="exact"/>
              <w:ind w:firstLine="0" w:firstLineChars="0"/>
              <w:jc w:val="right"/>
              <w:rPr>
                <w:rFonts w:ascii="仿宋_GB2312" w:eastAsia="仿宋_GB2312"/>
                <w:sz w:val="16"/>
              </w:rPr>
            </w:pPr>
            <w:r>
              <w:rPr>
                <w:rFonts w:hint="eastAsia"/>
                <w:sz w:val="16"/>
              </w:rPr>
              <w:t>0.00</w:t>
            </w:r>
          </w:p>
        </w:tc>
        <w:tc>
          <w:tcPr>
            <w:tcW w:w="864" w:type="dxa"/>
            <w:gridSpan w:val="2"/>
            <w:tcBorders>
              <w:top w:val="single" w:color="auto" w:sz="4" w:space="0"/>
            </w:tcBorders>
            <w:noWrap w:val="0"/>
            <w:vAlign w:val="top"/>
          </w:tcPr>
          <w:p>
            <w:pPr>
              <w:spacing w:line="240" w:lineRule="exact"/>
              <w:ind w:firstLine="320" w:firstLineChars="200"/>
              <w:jc w:val="right"/>
              <w:rPr>
                <w:rFonts w:ascii="仿宋_GB2312" w:eastAsia="仿宋_GB2312"/>
                <w:sz w:val="16"/>
              </w:rPr>
            </w:pPr>
            <w:r>
              <w:rPr>
                <w:rFonts w:hint="eastAsia"/>
                <w:sz w:val="16"/>
              </w:rPr>
              <w:t>0.00</w:t>
            </w:r>
          </w:p>
        </w:tc>
        <w:tc>
          <w:tcPr>
            <w:tcW w:w="492" w:type="dxa"/>
            <w:tcBorders>
              <w:top w:val="single" w:color="auto" w:sz="4" w:space="0"/>
            </w:tcBorders>
            <w:noWrap w:val="0"/>
            <w:vAlign w:val="top"/>
          </w:tcPr>
          <w:p>
            <w:pPr>
              <w:spacing w:line="240" w:lineRule="exact"/>
              <w:ind w:firstLine="0" w:firstLineChars="0"/>
              <w:jc w:val="right"/>
              <w:rPr>
                <w:rFonts w:ascii="仿宋_GB2312" w:eastAsia="仿宋_GB2312"/>
                <w:sz w:val="16"/>
              </w:rPr>
            </w:pPr>
            <w:r>
              <w:rPr>
                <w:rFonts w:hint="eastAsia"/>
                <w:sz w:val="16"/>
              </w:rPr>
              <w:t>0.00</w:t>
            </w:r>
          </w:p>
        </w:tc>
        <w:tc>
          <w:tcPr>
            <w:tcW w:w="770" w:type="dxa"/>
            <w:gridSpan w:val="2"/>
            <w:tcBorders>
              <w:top w:val="single" w:color="auto" w:sz="4" w:space="0"/>
            </w:tcBorders>
            <w:noWrap w:val="0"/>
            <w:vAlign w:val="top"/>
          </w:tcPr>
          <w:p>
            <w:pPr>
              <w:spacing w:line="240" w:lineRule="exact"/>
              <w:ind w:firstLine="320" w:firstLineChars="200"/>
              <w:jc w:val="right"/>
              <w:rPr>
                <w:rFonts w:ascii="仿宋_GB2312" w:eastAsia="仿宋_GB2312"/>
                <w:sz w:val="16"/>
              </w:rPr>
            </w:pPr>
            <w:r>
              <w:rPr>
                <w:rFonts w:hint="eastAsia"/>
                <w:sz w:val="16"/>
              </w:rPr>
              <w:t>0.00</w:t>
            </w:r>
          </w:p>
        </w:tc>
      </w:tr>
    </w:tbl>
    <w:p>
      <w:pPr>
        <w:pStyle w:val="5"/>
        <w:spacing w:after="312"/>
        <w:jc w:val="both"/>
        <w:rPr>
          <w:rFonts w:hint="eastAsia" w:ascii="仿宋_GB2312" w:hAnsi="微软雅黑" w:eastAsia="仿宋_GB2312" w:cs="微软雅黑"/>
          <w:color w:val="000000"/>
          <w:kern w:val="2"/>
          <w:sz w:val="18"/>
          <w:szCs w:val="22"/>
          <w:lang w:val="en-US" w:eastAsia="zh-CN" w:bidi="ar-SA"/>
        </w:rPr>
      </w:pPr>
      <w:r>
        <w:rPr>
          <w:rFonts w:hint="eastAsia" w:ascii="仿宋_GB2312" w:hAnsi="微软雅黑" w:eastAsia="仿宋_GB2312" w:cs="微软雅黑"/>
          <w:color w:val="000000"/>
          <w:kern w:val="2"/>
          <w:sz w:val="18"/>
          <w:szCs w:val="22"/>
          <w:lang w:val="en-US" w:eastAsia="zh-CN" w:bidi="ar-SA"/>
        </w:rPr>
        <w:t>注：本部门2021年部门预算无一般公共预算“三公”经费预算。</w:t>
      </w:r>
    </w:p>
    <w:p>
      <w:pPr>
        <w:pStyle w:val="5"/>
        <w:spacing w:after="312"/>
      </w:pPr>
      <w:r>
        <w:rPr>
          <w:rFonts w:hint="eastAsia"/>
        </w:rPr>
        <w:t>表八：政府性基金预算支出情况表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323"/>
        <w:gridCol w:w="371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500" w:type="dxa"/>
            <w:gridSpan w:val="2"/>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2500"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科目编码</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科目名称</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基金预算支出数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500" w:type="dxa"/>
            <w:gridSpan w:val="2"/>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2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p>
        </w:tc>
        <w:tc>
          <w:tcPr>
            <w:tcW w:w="4000" w:type="dxa"/>
            <w:noWrap w:val="0"/>
            <w:vAlign w:val="top"/>
          </w:tcPr>
          <w:p>
            <w:pPr>
              <w:spacing w:line="240" w:lineRule="exact"/>
              <w:jc w:val="left"/>
              <w:rPr>
                <w:rFonts w:ascii="仿宋_GB2312" w:eastAsia="仿宋_GB2312"/>
                <w:kern w:val="2"/>
                <w:sz w:val="16"/>
                <w:szCs w:val="21"/>
              </w:rPr>
            </w:pPr>
          </w:p>
        </w:tc>
        <w:tc>
          <w:tcPr>
            <w:tcW w:w="2500" w:type="dxa"/>
            <w:noWrap w:val="0"/>
            <w:vAlign w:val="top"/>
          </w:tcPr>
          <w:p>
            <w:pPr>
              <w:spacing w:line="240" w:lineRule="exact"/>
              <w:jc w:val="right"/>
              <w:rPr>
                <w:rFonts w:ascii="仿宋_GB2312" w:eastAsia="仿宋_GB2312"/>
                <w:kern w:val="2"/>
                <w:sz w:val="16"/>
                <w:szCs w:val="21"/>
              </w:rPr>
            </w:pPr>
          </w:p>
        </w:tc>
      </w:tr>
    </w:tbl>
    <w:p>
      <w:pPr>
        <w:pStyle w:val="17"/>
        <w:jc w:val="left"/>
        <w:rPr>
          <w:rFonts w:hint="eastAsia" w:ascii="仿宋_GB2312" w:hAnsi="微软雅黑" w:eastAsia="仿宋_GB2312" w:cs="微软雅黑"/>
          <w:color w:val="000000"/>
          <w:kern w:val="2"/>
          <w:sz w:val="18"/>
          <w:szCs w:val="22"/>
          <w:lang w:val="en-US" w:eastAsia="zh-CN" w:bidi="ar-SA"/>
        </w:rPr>
      </w:pPr>
    </w:p>
    <w:p>
      <w:pPr>
        <w:pStyle w:val="17"/>
        <w:jc w:val="left"/>
        <w:rPr>
          <w:rFonts w:hint="eastAsia" w:ascii="仿宋_GB2312" w:hAnsi="微软雅黑" w:eastAsia="仿宋_GB2312" w:cs="微软雅黑"/>
          <w:color w:val="000000"/>
          <w:kern w:val="2"/>
          <w:sz w:val="18"/>
          <w:szCs w:val="22"/>
          <w:lang w:val="en-US" w:eastAsia="zh-CN" w:bidi="ar-SA"/>
        </w:rPr>
      </w:pPr>
      <w:r>
        <w:rPr>
          <w:rFonts w:hint="eastAsia" w:ascii="仿宋_GB2312" w:hAnsi="微软雅黑" w:eastAsia="仿宋_GB2312" w:cs="微软雅黑"/>
          <w:color w:val="000000"/>
          <w:kern w:val="2"/>
          <w:sz w:val="18"/>
          <w:szCs w:val="22"/>
          <w:lang w:val="en-US" w:eastAsia="zh-CN" w:bidi="ar-SA"/>
        </w:rPr>
        <w:t>注：本部门2021年部门预算无政府性基金预算。</w:t>
      </w:r>
    </w:p>
    <w:p>
      <w:pPr>
        <w:pStyle w:val="17"/>
        <w:jc w:val="left"/>
        <w:rPr>
          <w:rFonts w:hint="eastAsia" w:ascii="仿宋_GB2312" w:hAnsi="微软雅黑" w:eastAsia="仿宋_GB2312" w:cs="微软雅黑"/>
          <w:color w:val="000000"/>
          <w:kern w:val="2"/>
          <w:sz w:val="18"/>
          <w:szCs w:val="22"/>
          <w:lang w:val="en-US" w:eastAsia="zh-CN" w:bidi="ar-SA"/>
        </w:rPr>
      </w:pPr>
    </w:p>
    <w:p>
      <w:pPr>
        <w:pStyle w:val="5"/>
        <w:spacing w:after="312"/>
      </w:pPr>
      <w:r>
        <w:rPr>
          <w:rFonts w:hint="eastAsia"/>
        </w:rPr>
        <w:t>表九：部门支出总体情况表（按项目名称分类）</w:t>
      </w:r>
    </w:p>
    <w:tbl>
      <w:tblPr>
        <w:tblStyle w:val="11"/>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11"/>
        <w:gridCol w:w="715"/>
        <w:gridCol w:w="716"/>
        <w:gridCol w:w="715"/>
        <w:gridCol w:w="716"/>
        <w:gridCol w:w="581"/>
        <w:gridCol w:w="136"/>
        <w:gridCol w:w="715"/>
        <w:gridCol w:w="716"/>
        <w:gridCol w:w="715"/>
        <w:gridCol w:w="7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4754" w:type="dxa"/>
            <w:gridSpan w:val="6"/>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3714" w:type="dxa"/>
            <w:gridSpan w:val="6"/>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预算项目</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预算数</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一般公共预算拨款</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政府性基金拨款</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事业收入</w:t>
            </w:r>
          </w:p>
        </w:tc>
        <w:tc>
          <w:tcPr>
            <w:tcW w:w="71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经营收入</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其他收入</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上年结转</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事业基金弥补收支差额</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上级单位补助收入</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下级单位上缴收入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合计</w:t>
            </w:r>
          </w:p>
        </w:tc>
        <w:tc>
          <w:tcPr>
            <w:tcW w:w="715"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716"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9,336.02</w:t>
            </w:r>
          </w:p>
        </w:tc>
        <w:tc>
          <w:tcPr>
            <w:tcW w:w="715"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基本支出</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7,447.57</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7,447.57</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项目支出</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1,888.45</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1,888.45</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教学教材、资料经费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118.09</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118.09</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学生体检、体质检测</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12.99</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12.99</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教学教研经费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109.99</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109.99</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后勤管理经费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198.53</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198.53</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校园活动经费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20.00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20.00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学生活动经费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16.00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16.00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特色教育经费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25.00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25.00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教育教学设备</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164.30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164.30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校园修缮</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231.00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231.00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四点半活动经费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250.50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250.50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购买教育服务经费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351.74</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351.74</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校舍安全经费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20.04</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20.04</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文体专项资金</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8.00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8.00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学校特色经费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40.00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40.00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教育管理事务</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3.00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3.00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老干部活动经费</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12.00</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12.00</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highlight w:val="none"/>
              </w:rPr>
            </w:pPr>
            <w:r>
              <w:rPr>
                <w:rFonts w:hint="eastAsia" w:ascii="仿宋_GB2312" w:hAnsi="微软雅黑" w:eastAsia="仿宋_GB2312"/>
                <w:sz w:val="16"/>
                <w:szCs w:val="12"/>
                <w:highlight w:val="none"/>
              </w:rPr>
              <w:t xml:space="preserve">   教育活动</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44.84</w:t>
            </w:r>
          </w:p>
        </w:tc>
        <w:tc>
          <w:tcPr>
            <w:tcW w:w="716"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44.84</w:t>
            </w:r>
          </w:p>
        </w:tc>
        <w:tc>
          <w:tcPr>
            <w:tcW w:w="715" w:type="dxa"/>
            <w:noWrap w:val="0"/>
            <w:vAlign w:val="top"/>
          </w:tcPr>
          <w:p>
            <w:pPr>
              <w:spacing w:line="240" w:lineRule="exact"/>
              <w:jc w:val="right"/>
              <w:rPr>
                <w:rFonts w:ascii="仿宋_GB2312" w:eastAsia="仿宋_GB2312"/>
                <w:kern w:val="2"/>
                <w:sz w:val="16"/>
                <w:szCs w:val="21"/>
                <w:highlight w:val="none"/>
              </w:rPr>
            </w:pPr>
            <w:r>
              <w:rPr>
                <w:rFonts w:hint="eastAsia" w:ascii="仿宋_GB2312" w:hAnsi="微软雅黑" w:eastAsia="仿宋_GB2312"/>
                <w:sz w:val="16"/>
                <w:szCs w:val="12"/>
                <w:highlight w:val="none"/>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预算备用金</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25.71</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25.71</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午餐午休经费</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114.00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114.00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校园文化</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27.23</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27.23</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社会实践活动专项经费</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23.94</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23.94</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厕所革命</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班主任专项经费</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15.75</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15.75</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311"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班主任及心理教师工作经费</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10.80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10.80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7"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5"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16"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bl>
    <w:p>
      <w:pPr>
        <w:jc w:val="center"/>
        <w:rPr>
          <w:rFonts w:hint="eastAsia" w:ascii="黑体" w:hAnsi="黑体" w:eastAsia="黑体"/>
          <w:sz w:val="28"/>
          <w:szCs w:val="28"/>
        </w:rPr>
      </w:pPr>
    </w:p>
    <w:p>
      <w:pPr>
        <w:pStyle w:val="5"/>
        <w:spacing w:after="312"/>
      </w:pPr>
      <w:r>
        <w:rPr>
          <w:rFonts w:hint="eastAsia"/>
        </w:rPr>
        <w:t>表十：政府采购项目经费预算表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55"/>
        <w:gridCol w:w="701"/>
        <w:gridCol w:w="701"/>
        <w:gridCol w:w="701"/>
        <w:gridCol w:w="701"/>
        <w:gridCol w:w="489"/>
        <w:gridCol w:w="212"/>
        <w:gridCol w:w="701"/>
        <w:gridCol w:w="701"/>
        <w:gridCol w:w="701"/>
        <w:gridCol w:w="7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40" w:type="dxa"/>
            <w:gridSpan w:val="6"/>
            <w:tcBorders>
              <w:top w:val="nil"/>
              <w:left w:val="nil"/>
              <w:bottom w:val="single" w:color="auto" w:sz="4" w:space="0"/>
              <w:right w:val="nil"/>
            </w:tcBorders>
            <w:noWrap w:val="0"/>
            <w:vAlign w:val="top"/>
          </w:tcPr>
          <w:p>
            <w:pPr>
              <w:spacing w:line="240" w:lineRule="exact"/>
              <w:jc w:val="left"/>
              <w:rPr>
                <w:rFonts w:ascii="仿宋_GB2312" w:hAnsi="微软雅黑" w:eastAsia="仿宋_GB2312"/>
                <w:sz w:val="16"/>
                <w:szCs w:val="21"/>
              </w:rPr>
            </w:pPr>
            <w:r>
              <w:rPr>
                <w:rFonts w:hint="eastAsia" w:ascii="仿宋_GB2312" w:hAnsi="微软雅黑" w:eastAsia="仿宋_GB2312"/>
                <w:sz w:val="16"/>
                <w:szCs w:val="16"/>
              </w:rPr>
              <w:t>单位名称：南山区育才一小</w:t>
            </w:r>
          </w:p>
        </w:tc>
        <w:tc>
          <w:tcPr>
            <w:tcW w:w="4030" w:type="dxa"/>
            <w:gridSpan w:val="6"/>
            <w:tcBorders>
              <w:top w:val="nil"/>
              <w:left w:val="nil"/>
              <w:bottom w:val="single" w:color="auto" w:sz="4" w:space="0"/>
              <w:right w:val="nil"/>
            </w:tcBorders>
            <w:noWrap w:val="0"/>
            <w:vAlign w:val="top"/>
          </w:tcPr>
          <w:p>
            <w:pPr>
              <w:spacing w:line="240" w:lineRule="exact"/>
              <w:jc w:val="right"/>
              <w:rPr>
                <w:rFonts w:ascii="仿宋_GB2312" w:hAnsi="微软雅黑" w:eastAsia="仿宋_GB231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采购品目编码及名称</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合计</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一般公共预算拨款</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政府性基金拨款</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事业收入</w:t>
            </w:r>
          </w:p>
        </w:tc>
        <w:tc>
          <w:tcPr>
            <w:tcW w:w="7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经营收入</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其他收入</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上年结转</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事业基金弥补收支差额</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上级单位补助收入</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2"/>
              </w:rPr>
              <w:t>下级单位上缴收入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A货物类</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164.30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164.30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A03一般设备</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8.80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8.80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A0301电器设备</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A030105空调</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A0302办公自动化设备</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4.80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4.80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A030201台式计算机</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A03020206多功能一体机</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0.80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0.80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A07专用材料</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9.50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9.50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A0703图书资料</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9.50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9.50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A070301图书</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9.50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9.50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A9900其他货物</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146.00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146.00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A9900其他货物</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146.00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146.00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B工程类</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B9900其他种类工程</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B9900其他种类工程</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45.00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C服务类</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599.32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599.32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C9900其他服务</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599.32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599.32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 xml:space="preserve">      C9900其他服务</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599.32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599.32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47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2"/>
              </w:rPr>
              <w:t>合计</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808.62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808.62</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gridSpan w:val="2"/>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c>
          <w:tcPr>
            <w:tcW w:w="76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2"/>
              </w:rPr>
              <w:t>0.00</w:t>
            </w:r>
          </w:p>
        </w:tc>
      </w:tr>
    </w:tbl>
    <w:p>
      <w:pPr>
        <w:jc w:val="center"/>
        <w:rPr>
          <w:rFonts w:hint="eastAsia" w:ascii="黑体" w:hAnsi="黑体" w:eastAsia="黑体"/>
          <w:sz w:val="28"/>
          <w:szCs w:val="28"/>
        </w:rPr>
      </w:pPr>
    </w:p>
    <w:p>
      <w:pPr>
        <w:pStyle w:val="5"/>
        <w:spacing w:after="312"/>
      </w:pPr>
      <w:r>
        <w:rPr>
          <w:rFonts w:hint="eastAsia"/>
        </w:rPr>
        <w:t>表十一：一般公共预算基本支出情况表（按政府经济科目分类）</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323"/>
        <w:gridCol w:w="371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500" w:type="dxa"/>
            <w:gridSpan w:val="2"/>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2500"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科目编码</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科目</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一般公共预算拨款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4000" w:type="dxa"/>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w:t>
            </w:r>
          </w:p>
        </w:tc>
        <w:tc>
          <w:tcPr>
            <w:tcW w:w="2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7,447.57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501</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机关工资福利支出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50102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社会保障缴费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502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机关商品和服务支出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50299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其他商品和服务支出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505</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对事业单位经常性补助</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5,197.29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50501</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工资福利支出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4,907.14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50502</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商品和服务支出</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509</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对个人和家庭的补助</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2,084.42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50901</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社会福利和救助</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1,434.05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 xml:space="preserve">   50905</w:t>
            </w:r>
          </w:p>
        </w:tc>
        <w:tc>
          <w:tcPr>
            <w:tcW w:w="4000" w:type="dxa"/>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离退休费</w:t>
            </w:r>
          </w:p>
        </w:tc>
        <w:tc>
          <w:tcPr>
            <w:tcW w:w="2500" w:type="dxa"/>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650.37</w:t>
            </w:r>
          </w:p>
        </w:tc>
      </w:tr>
    </w:tbl>
    <w:p>
      <w:pPr>
        <w:jc w:val="center"/>
        <w:rPr>
          <w:rFonts w:hint="eastAsia" w:ascii="黑体" w:hAnsi="黑体" w:eastAsia="黑体"/>
          <w:sz w:val="28"/>
          <w:szCs w:val="28"/>
        </w:rPr>
      </w:pPr>
    </w:p>
    <w:p>
      <w:pPr>
        <w:pStyle w:val="5"/>
        <w:spacing w:after="312"/>
      </w:pPr>
      <w:r>
        <w:rPr>
          <w:rFonts w:hint="eastAsia"/>
        </w:rPr>
        <w:t>表十二：产业扶持资金预算支出情况表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322"/>
        <w:gridCol w:w="1859"/>
        <w:gridCol w:w="2322"/>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00" w:type="dxa"/>
            <w:gridSpan w:val="3"/>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2000"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功能科目编码</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功能科目名称</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项目名称</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00" w:type="dxa"/>
            <w:gridSpan w:val="3"/>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20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bl>
    <w:p>
      <w:pPr>
        <w:pStyle w:val="17"/>
        <w:jc w:val="left"/>
        <w:rPr>
          <w:rFonts w:hint="eastAsia" w:ascii="仿宋_GB2312" w:hAnsi="微软雅黑" w:eastAsia="仿宋_GB2312" w:cs="微软雅黑"/>
          <w:color w:val="000000"/>
          <w:kern w:val="2"/>
          <w:sz w:val="18"/>
          <w:szCs w:val="22"/>
          <w:lang w:val="en-US" w:eastAsia="zh-CN" w:bidi="ar-SA"/>
        </w:rPr>
      </w:pPr>
    </w:p>
    <w:p>
      <w:pPr>
        <w:pStyle w:val="17"/>
        <w:jc w:val="left"/>
        <w:rPr>
          <w:rFonts w:hint="eastAsia" w:ascii="仿宋_GB2312" w:hAnsi="微软雅黑" w:eastAsia="仿宋_GB2312" w:cs="微软雅黑"/>
          <w:color w:val="000000"/>
          <w:kern w:val="2"/>
          <w:sz w:val="18"/>
          <w:szCs w:val="22"/>
          <w:lang w:val="en-US" w:eastAsia="zh-CN" w:bidi="ar-SA"/>
        </w:rPr>
      </w:pPr>
      <w:r>
        <w:rPr>
          <w:rFonts w:hint="eastAsia" w:ascii="仿宋_GB2312" w:hAnsi="微软雅黑" w:eastAsia="仿宋_GB2312" w:cs="微软雅黑"/>
          <w:color w:val="000000"/>
          <w:kern w:val="2"/>
          <w:sz w:val="18"/>
          <w:szCs w:val="22"/>
          <w:lang w:val="en-US" w:eastAsia="zh-CN" w:bidi="ar-SA"/>
        </w:rPr>
        <w:t>注：本部门2021年部门预算无产业扶持资金预算。</w:t>
      </w:r>
    </w:p>
    <w:p>
      <w:pPr>
        <w:jc w:val="center"/>
        <w:rPr>
          <w:rFonts w:hint="eastAsia" w:ascii="黑体" w:hAnsi="黑体" w:eastAsia="黑体"/>
          <w:sz w:val="28"/>
          <w:szCs w:val="28"/>
        </w:rPr>
      </w:pPr>
    </w:p>
    <w:p>
      <w:pPr>
        <w:pStyle w:val="5"/>
        <w:spacing w:after="312"/>
      </w:pPr>
      <w:r>
        <w:rPr>
          <w:rFonts w:hint="eastAsia"/>
        </w:rPr>
        <w:t>表十三：政府购买服务支出表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51"/>
        <w:gridCol w:w="651"/>
        <w:gridCol w:w="650"/>
        <w:gridCol w:w="650"/>
        <w:gridCol w:w="1208"/>
        <w:gridCol w:w="1208"/>
        <w:gridCol w:w="558"/>
        <w:gridCol w:w="743"/>
        <w:gridCol w:w="130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800" w:type="dxa"/>
            <w:gridSpan w:val="8"/>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2200" w:type="dxa"/>
            <w:gridSpan w:val="2"/>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功能分类</w:t>
            </w:r>
          </w:p>
        </w:tc>
        <w:tc>
          <w:tcPr>
            <w:tcW w:w="70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功能分类</w:t>
            </w:r>
          </w:p>
        </w:tc>
        <w:tc>
          <w:tcPr>
            <w:tcW w:w="70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项目名称</w:t>
            </w:r>
          </w:p>
        </w:tc>
        <w:tc>
          <w:tcPr>
            <w:tcW w:w="70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资金来源</w:t>
            </w:r>
          </w:p>
        </w:tc>
        <w:tc>
          <w:tcPr>
            <w:tcW w:w="130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购买服务类型</w:t>
            </w:r>
          </w:p>
        </w:tc>
        <w:tc>
          <w:tcPr>
            <w:tcW w:w="130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购买服务内容</w:t>
            </w:r>
          </w:p>
        </w:tc>
        <w:tc>
          <w:tcPr>
            <w:tcW w:w="3600" w:type="dxa"/>
            <w:gridSpan w:val="4"/>
            <w:tcBorders>
              <w:top w:val="single" w:color="auto" w:sz="4" w:space="0"/>
              <w:left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购买服务金额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微软雅黑" w:eastAsia="黑体"/>
                <w:sz w:val="16"/>
                <w:szCs w:val="21"/>
              </w:rPr>
            </w:pPr>
          </w:p>
        </w:tc>
        <w:tc>
          <w:tcPr>
            <w:tcW w:w="7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微软雅黑" w:eastAsia="黑体"/>
                <w:sz w:val="16"/>
                <w:szCs w:val="21"/>
              </w:rPr>
            </w:pPr>
          </w:p>
        </w:tc>
        <w:tc>
          <w:tcPr>
            <w:tcW w:w="7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微软雅黑" w:eastAsia="黑体"/>
                <w:sz w:val="16"/>
                <w:szCs w:val="21"/>
              </w:rPr>
            </w:pPr>
          </w:p>
        </w:tc>
        <w:tc>
          <w:tcPr>
            <w:tcW w:w="7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微软雅黑" w:eastAsia="黑体"/>
                <w:sz w:val="16"/>
                <w:szCs w:val="21"/>
              </w:rPr>
            </w:pPr>
          </w:p>
        </w:tc>
        <w:tc>
          <w:tcPr>
            <w:tcW w:w="13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微软雅黑" w:eastAsia="黑体"/>
                <w:sz w:val="16"/>
                <w:szCs w:val="21"/>
              </w:rPr>
            </w:pPr>
          </w:p>
        </w:tc>
        <w:tc>
          <w:tcPr>
            <w:tcW w:w="13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黑体" w:hAnsi="微软雅黑" w:eastAsia="黑体"/>
                <w:sz w:val="16"/>
                <w:szCs w:val="21"/>
              </w:rPr>
            </w:pPr>
          </w:p>
        </w:tc>
        <w:tc>
          <w:tcPr>
            <w:tcW w:w="6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合计</w:t>
            </w:r>
          </w:p>
        </w:tc>
        <w:tc>
          <w:tcPr>
            <w:tcW w:w="8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财政拨款</w:t>
            </w:r>
          </w:p>
        </w:tc>
        <w:tc>
          <w:tcPr>
            <w:tcW w:w="14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财政拨款结转资金</w:t>
            </w:r>
          </w:p>
        </w:tc>
        <w:tc>
          <w:tcPr>
            <w:tcW w:w="800" w:type="dxa"/>
            <w:tcBorders>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16"/>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400" w:type="dxa"/>
            <w:gridSpan w:val="6"/>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6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8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4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8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r>
    </w:tbl>
    <w:p>
      <w:pPr>
        <w:pStyle w:val="17"/>
        <w:jc w:val="left"/>
        <w:rPr>
          <w:rFonts w:hint="eastAsia" w:ascii="仿宋_GB2312" w:hAnsi="微软雅黑" w:eastAsia="仿宋_GB2312" w:cs="微软雅黑"/>
          <w:color w:val="000000"/>
          <w:kern w:val="2"/>
          <w:sz w:val="18"/>
          <w:szCs w:val="22"/>
          <w:lang w:val="en-US" w:eastAsia="zh-CN" w:bidi="ar-SA"/>
        </w:rPr>
      </w:pPr>
    </w:p>
    <w:p>
      <w:pPr>
        <w:pStyle w:val="17"/>
        <w:jc w:val="left"/>
        <w:rPr>
          <w:rFonts w:hint="eastAsia" w:ascii="仿宋_GB2312" w:hAnsi="微软雅黑" w:eastAsia="仿宋_GB2312" w:cs="微软雅黑"/>
          <w:color w:val="000000"/>
          <w:kern w:val="2"/>
          <w:sz w:val="18"/>
          <w:szCs w:val="22"/>
          <w:lang w:val="en-US" w:eastAsia="zh-CN" w:bidi="ar-SA"/>
        </w:rPr>
      </w:pPr>
      <w:r>
        <w:rPr>
          <w:rFonts w:hint="eastAsia" w:ascii="仿宋_GB2312" w:hAnsi="微软雅黑" w:eastAsia="仿宋_GB2312" w:cs="微软雅黑"/>
          <w:color w:val="000000"/>
          <w:kern w:val="2"/>
          <w:sz w:val="18"/>
          <w:szCs w:val="22"/>
          <w:lang w:val="en-US" w:eastAsia="zh-CN" w:bidi="ar-SA"/>
        </w:rPr>
        <w:t>注：本部门2021年部门预算无政府购买服务资金预算。</w:t>
      </w:r>
    </w:p>
    <w:p>
      <w:pPr>
        <w:jc w:val="center"/>
        <w:rPr>
          <w:rFonts w:hint="eastAsia" w:ascii="黑体" w:hAnsi="黑体" w:eastAsia="黑体"/>
          <w:sz w:val="28"/>
          <w:szCs w:val="28"/>
        </w:rPr>
      </w:pPr>
    </w:p>
    <w:p>
      <w:pPr>
        <w:pStyle w:val="2"/>
        <w:rPr>
          <w:rFonts w:hint="eastAsia"/>
        </w:rPr>
      </w:pPr>
    </w:p>
    <w:p>
      <w:pPr>
        <w:pStyle w:val="5"/>
        <w:spacing w:after="312"/>
      </w:pPr>
      <w:r>
        <w:rPr>
          <w:rFonts w:hint="eastAsia"/>
        </w:rPr>
        <w:t>表十四：政府投资项目计划表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93"/>
        <w:gridCol w:w="2787"/>
        <w:gridCol w:w="1394"/>
        <w:gridCol w:w="139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500" w:type="dxa"/>
            <w:gridSpan w:val="4"/>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1500"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功能分类编码</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功能分类名称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预算数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6000" w:type="dxa"/>
            <w:gridSpan w:val="3"/>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1500"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500" w:type="dxa"/>
            <w:tcBorders>
              <w:top w:val="single" w:color="auto" w:sz="4" w:space="0"/>
            </w:tcBorders>
            <w:noWrap w:val="0"/>
            <w:vAlign w:val="top"/>
          </w:tcPr>
          <w:p>
            <w:pPr>
              <w:spacing w:line="240" w:lineRule="exact"/>
              <w:jc w:val="right"/>
              <w:rPr>
                <w:rFonts w:ascii="仿宋_GB2312" w:eastAsia="仿宋_GB2312"/>
                <w:kern w:val="2"/>
                <w:sz w:val="16"/>
                <w:szCs w:val="21"/>
              </w:rPr>
            </w:pPr>
          </w:p>
        </w:tc>
      </w:tr>
    </w:tbl>
    <w:p>
      <w:pPr>
        <w:pStyle w:val="17"/>
        <w:jc w:val="left"/>
        <w:rPr>
          <w:rFonts w:hint="eastAsia" w:ascii="仿宋_GB2312" w:hAnsi="微软雅黑" w:eastAsia="仿宋_GB2312" w:cs="微软雅黑"/>
          <w:color w:val="000000"/>
          <w:kern w:val="2"/>
          <w:sz w:val="18"/>
          <w:szCs w:val="22"/>
          <w:lang w:val="en-US" w:eastAsia="zh-CN" w:bidi="ar-SA"/>
        </w:rPr>
      </w:pPr>
    </w:p>
    <w:p>
      <w:pPr>
        <w:pStyle w:val="17"/>
        <w:jc w:val="left"/>
        <w:rPr>
          <w:rFonts w:hint="eastAsia" w:ascii="仿宋_GB2312" w:hAnsi="微软雅黑" w:eastAsia="仿宋_GB2312" w:cs="微软雅黑"/>
          <w:color w:val="000000"/>
          <w:kern w:val="2"/>
          <w:sz w:val="18"/>
          <w:szCs w:val="22"/>
          <w:lang w:val="en-US" w:eastAsia="zh-CN" w:bidi="ar-SA"/>
        </w:rPr>
      </w:pPr>
      <w:r>
        <w:rPr>
          <w:rFonts w:hint="eastAsia" w:ascii="仿宋_GB2312" w:hAnsi="微软雅黑" w:eastAsia="仿宋_GB2312" w:cs="微软雅黑"/>
          <w:color w:val="000000"/>
          <w:kern w:val="2"/>
          <w:sz w:val="18"/>
          <w:szCs w:val="22"/>
          <w:lang w:val="en-US" w:eastAsia="zh-CN" w:bidi="ar-SA"/>
        </w:rPr>
        <w:t>注：本部门2021年部门预算无政府投资项目预算</w:t>
      </w:r>
    </w:p>
    <w:p>
      <w:pPr>
        <w:jc w:val="center"/>
        <w:rPr>
          <w:rFonts w:hint="eastAsia" w:ascii="黑体" w:hAnsi="黑体" w:eastAsia="黑体"/>
          <w:sz w:val="28"/>
          <w:szCs w:val="28"/>
        </w:rPr>
      </w:pPr>
    </w:p>
    <w:p>
      <w:pPr>
        <w:pStyle w:val="5"/>
        <w:spacing w:after="312"/>
      </w:pPr>
      <w:r>
        <w:rPr>
          <w:rFonts w:hint="eastAsia"/>
        </w:rPr>
        <w:t>表十五：上级专项转移支付支出预算表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858"/>
        <w:gridCol w:w="1858"/>
        <w:gridCol w:w="1015"/>
        <w:gridCol w:w="1773"/>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62" w:type="dxa"/>
            <w:gridSpan w:val="5"/>
            <w:tcBorders>
              <w:top w:val="nil"/>
              <w:left w:val="nil"/>
              <w:bottom w:val="single" w:color="auto" w:sz="4" w:space="0"/>
              <w:right w:val="nil"/>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单位名称：南山区育才一小</w:t>
            </w:r>
          </w:p>
        </w:tc>
        <w:tc>
          <w:tcPr>
            <w:tcW w:w="1008" w:type="dxa"/>
            <w:tcBorders>
              <w:top w:val="nil"/>
              <w:left w:val="nil"/>
              <w:bottom w:val="single" w:color="auto" w:sz="4" w:space="0"/>
              <w:right w:val="nil"/>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20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单位</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项目名称</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功能科目编码</w:t>
            </w:r>
          </w:p>
        </w:tc>
        <w:tc>
          <w:tcPr>
            <w:tcW w:w="192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功能科目名称</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金额</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微软雅黑" w:eastAsia="黑体"/>
                <w:sz w:val="16"/>
                <w:szCs w:val="21"/>
              </w:rPr>
            </w:pPr>
            <w:r>
              <w:rPr>
                <w:rFonts w:hint="eastAsia" w:ascii="黑体" w:hAnsi="微软雅黑" w:eastAsia="黑体"/>
                <w:sz w:val="16"/>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054" w:type="dxa"/>
            <w:gridSpan w:val="4"/>
            <w:tcBorders>
              <w:top w:val="single" w:color="auto" w:sz="4" w:space="0"/>
            </w:tcBorders>
            <w:noWrap w:val="0"/>
            <w:vAlign w:val="top"/>
          </w:tcPr>
          <w:p>
            <w:pPr>
              <w:spacing w:line="240" w:lineRule="exact"/>
              <w:jc w:val="left"/>
              <w:rPr>
                <w:rFonts w:ascii="仿宋_GB2312" w:eastAsia="仿宋_GB2312"/>
                <w:kern w:val="2"/>
                <w:sz w:val="16"/>
                <w:szCs w:val="21"/>
              </w:rPr>
            </w:pPr>
            <w:r>
              <w:rPr>
                <w:rFonts w:hint="eastAsia" w:ascii="仿宋_GB2312" w:hAnsi="微软雅黑" w:eastAsia="仿宋_GB2312"/>
                <w:sz w:val="16"/>
                <w:szCs w:val="16"/>
              </w:rPr>
              <w:t>合计:</w:t>
            </w:r>
          </w:p>
        </w:tc>
        <w:tc>
          <w:tcPr>
            <w:tcW w:w="1008" w:type="dxa"/>
            <w:tcBorders>
              <w:top w:val="single" w:color="auto" w:sz="4" w:space="0"/>
            </w:tcBorders>
            <w:noWrap w:val="0"/>
            <w:vAlign w:val="top"/>
          </w:tcPr>
          <w:p>
            <w:pPr>
              <w:spacing w:line="240" w:lineRule="exact"/>
              <w:jc w:val="right"/>
              <w:rPr>
                <w:rFonts w:ascii="仿宋_GB2312" w:eastAsia="仿宋_GB2312"/>
                <w:kern w:val="2"/>
                <w:sz w:val="16"/>
                <w:szCs w:val="21"/>
              </w:rPr>
            </w:pPr>
            <w:r>
              <w:rPr>
                <w:rFonts w:hint="eastAsia" w:ascii="仿宋_GB2312" w:hAnsi="微软雅黑" w:eastAsia="仿宋_GB2312"/>
                <w:sz w:val="16"/>
                <w:szCs w:val="16"/>
              </w:rPr>
              <w:t>0.00</w:t>
            </w:r>
          </w:p>
        </w:tc>
        <w:tc>
          <w:tcPr>
            <w:tcW w:w="1008" w:type="dxa"/>
            <w:tcBorders>
              <w:top w:val="single" w:color="auto" w:sz="4" w:space="0"/>
            </w:tcBorders>
            <w:noWrap w:val="0"/>
            <w:vAlign w:val="top"/>
          </w:tcPr>
          <w:p>
            <w:pPr>
              <w:spacing w:line="240" w:lineRule="exact"/>
              <w:jc w:val="right"/>
              <w:rPr>
                <w:rFonts w:ascii="仿宋_GB2312" w:eastAsia="仿宋_GB2312"/>
                <w:kern w:val="2"/>
                <w:sz w:val="16"/>
                <w:szCs w:val="21"/>
              </w:rPr>
            </w:pPr>
          </w:p>
        </w:tc>
      </w:tr>
    </w:tbl>
    <w:p>
      <w:pPr>
        <w:rPr>
          <w:kern w:val="2"/>
          <w:szCs w:val="21"/>
        </w:rPr>
      </w:pPr>
      <w:r>
        <w:t xml:space="preserve"> </w:t>
      </w:r>
    </w:p>
    <w:p>
      <w:pPr>
        <w:pStyle w:val="17"/>
        <w:jc w:val="left"/>
        <w:rPr>
          <w:rFonts w:hint="eastAsia" w:ascii="仿宋_GB2312" w:hAnsi="微软雅黑" w:eastAsia="仿宋_GB2312" w:cs="微软雅黑"/>
          <w:color w:val="000000"/>
          <w:kern w:val="2"/>
          <w:sz w:val="18"/>
          <w:szCs w:val="22"/>
          <w:lang w:val="en-US" w:eastAsia="zh-CN" w:bidi="ar-SA"/>
        </w:rPr>
      </w:pPr>
      <w:r>
        <w:rPr>
          <w:rFonts w:hint="eastAsia" w:ascii="仿宋_GB2312" w:hAnsi="微软雅黑" w:eastAsia="仿宋_GB2312" w:cs="微软雅黑"/>
          <w:color w:val="000000"/>
          <w:kern w:val="2"/>
          <w:sz w:val="18"/>
          <w:szCs w:val="22"/>
          <w:lang w:val="en-US" w:eastAsia="zh-CN" w:bidi="ar-SA"/>
        </w:rPr>
        <w:t>注：本部门2021年部门预算无上级专项转移支付资金预算。</w:t>
      </w:r>
    </w:p>
    <w:p>
      <w:pPr>
        <w:pStyle w:val="17"/>
        <w:jc w:val="left"/>
        <w:rPr>
          <w:rFonts w:hint="eastAsia" w:ascii="仿宋_GB2312" w:hAnsi="微软雅黑" w:eastAsia="仿宋_GB2312" w:cs="微软雅黑"/>
          <w:color w:val="000000"/>
          <w:kern w:val="2"/>
          <w:sz w:val="18"/>
          <w:szCs w:val="22"/>
          <w:lang w:val="en-US" w:eastAsia="zh-CN" w:bidi="ar-SA"/>
        </w:rPr>
      </w:pPr>
    </w:p>
    <w:p>
      <w:pPr>
        <w:pStyle w:val="5"/>
        <w:spacing w:after="312"/>
        <w:jc w:val="center"/>
      </w:pPr>
      <w:r>
        <w:t>表十六：部门（单位）整体绩效目标填报表</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975"/>
        <w:gridCol w:w="358"/>
        <w:gridCol w:w="1169"/>
        <w:gridCol w:w="6"/>
        <w:gridCol w:w="756"/>
        <w:gridCol w:w="2160"/>
        <w:gridCol w:w="736"/>
        <w:gridCol w:w="267"/>
        <w:gridCol w:w="785"/>
        <w:gridCol w:w="263"/>
        <w:gridCol w:w="522"/>
        <w:gridCol w:w="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单位名称</w:t>
            </w:r>
          </w:p>
        </w:tc>
        <w:tc>
          <w:tcPr>
            <w:tcW w:w="4416" w:type="pct"/>
            <w:gridSpan w:val="11"/>
            <w:noWrap w:val="0"/>
            <w:vAlign w:val="bottom"/>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020052 南山区育才一小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填报人</w:t>
            </w:r>
          </w:p>
        </w:tc>
        <w:tc>
          <w:tcPr>
            <w:tcW w:w="913" w:type="pct"/>
            <w:gridSpan w:val="2"/>
            <w:noWrap w:val="0"/>
            <w:vAlign w:val="bottom"/>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455" w:type="pct"/>
            <w:gridSpan w:val="2"/>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联系电话</w:t>
            </w:r>
          </w:p>
        </w:tc>
        <w:tc>
          <w:tcPr>
            <w:tcW w:w="1291" w:type="pct"/>
            <w:noWrap w:val="0"/>
            <w:vAlign w:val="bottom"/>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26815730</w:t>
            </w:r>
          </w:p>
        </w:tc>
        <w:tc>
          <w:tcPr>
            <w:tcW w:w="440" w:type="pct"/>
            <w:noWrap/>
            <w:vAlign w:val="bottom"/>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填报日期</w:t>
            </w:r>
          </w:p>
        </w:tc>
        <w:tc>
          <w:tcPr>
            <w:tcW w:w="1316" w:type="pct"/>
            <w:gridSpan w:val="5"/>
            <w:noWrap w:val="0"/>
            <w:vAlign w:val="bottom"/>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2020-11-09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restart"/>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年度主要任务</w:t>
            </w:r>
          </w:p>
        </w:tc>
        <w:tc>
          <w:tcPr>
            <w:tcW w:w="913" w:type="pct"/>
            <w:gridSpan w:val="2"/>
            <w:vMerge w:val="restart"/>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任务名称</w:t>
            </w:r>
          </w:p>
        </w:tc>
        <w:tc>
          <w:tcPr>
            <w:tcW w:w="1747" w:type="pct"/>
            <w:gridSpan w:val="3"/>
            <w:vMerge w:val="restart"/>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主要内容</w:t>
            </w:r>
          </w:p>
        </w:tc>
        <w:tc>
          <w:tcPr>
            <w:tcW w:w="1756" w:type="pct"/>
            <w:gridSpan w:val="6"/>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vMerge w:val="continue"/>
            <w:noWrap w:val="0"/>
            <w:vAlign w:val="center"/>
          </w:tcPr>
          <w:p>
            <w:pPr>
              <w:adjustRightInd w:val="0"/>
              <w:snapToGrid w:val="0"/>
              <w:spacing w:line="236" w:lineRule="exact"/>
              <w:rPr>
                <w:rFonts w:ascii="仿宋_GB2312" w:hAnsi="宋体" w:eastAsia="仿宋_GB2312" w:cs="宋体"/>
                <w:sz w:val="16"/>
                <w:szCs w:val="18"/>
              </w:rPr>
            </w:pPr>
          </w:p>
        </w:tc>
        <w:tc>
          <w:tcPr>
            <w:tcW w:w="1747" w:type="pct"/>
            <w:gridSpan w:val="3"/>
            <w:vMerge w:val="continue"/>
            <w:noWrap w:val="0"/>
            <w:vAlign w:val="center"/>
          </w:tcPr>
          <w:p>
            <w:pPr>
              <w:adjustRightInd w:val="0"/>
              <w:snapToGrid w:val="0"/>
              <w:spacing w:line="236" w:lineRule="exact"/>
              <w:rPr>
                <w:rFonts w:ascii="仿宋_GB2312" w:hAnsi="宋体" w:eastAsia="仿宋_GB2312" w:cs="宋体"/>
                <w:sz w:val="16"/>
                <w:szCs w:val="18"/>
              </w:rPr>
            </w:pPr>
          </w:p>
        </w:tc>
        <w:tc>
          <w:tcPr>
            <w:tcW w:w="599" w:type="pct"/>
            <w:gridSpan w:val="2"/>
            <w:vMerge w:val="restart"/>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总额</w:t>
            </w:r>
          </w:p>
        </w:tc>
        <w:tc>
          <w:tcPr>
            <w:tcW w:w="938" w:type="pct"/>
            <w:gridSpan w:val="3"/>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财政拨款</w:t>
            </w:r>
          </w:p>
        </w:tc>
        <w:tc>
          <w:tcPr>
            <w:tcW w:w="217" w:type="pct"/>
            <w:vMerge w:val="restart"/>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vMerge w:val="continue"/>
            <w:noWrap w:val="0"/>
            <w:vAlign w:val="center"/>
          </w:tcPr>
          <w:p>
            <w:pPr>
              <w:adjustRightInd w:val="0"/>
              <w:snapToGrid w:val="0"/>
              <w:spacing w:line="236" w:lineRule="exact"/>
              <w:rPr>
                <w:rFonts w:ascii="仿宋_GB2312" w:hAnsi="宋体" w:eastAsia="仿宋_GB2312" w:cs="宋体"/>
                <w:sz w:val="16"/>
                <w:szCs w:val="18"/>
              </w:rPr>
            </w:pPr>
          </w:p>
        </w:tc>
        <w:tc>
          <w:tcPr>
            <w:tcW w:w="1747" w:type="pct"/>
            <w:gridSpan w:val="3"/>
            <w:vMerge w:val="continue"/>
            <w:noWrap w:val="0"/>
            <w:vAlign w:val="center"/>
          </w:tcPr>
          <w:p>
            <w:pPr>
              <w:adjustRightInd w:val="0"/>
              <w:snapToGrid w:val="0"/>
              <w:spacing w:line="236" w:lineRule="exact"/>
              <w:rPr>
                <w:rFonts w:ascii="仿宋_GB2312" w:hAnsi="宋体" w:eastAsia="仿宋_GB2312" w:cs="宋体"/>
                <w:sz w:val="16"/>
                <w:szCs w:val="18"/>
              </w:rPr>
            </w:pPr>
          </w:p>
        </w:tc>
        <w:tc>
          <w:tcPr>
            <w:tcW w:w="599" w:type="pct"/>
            <w:gridSpan w:val="2"/>
            <w:vMerge w:val="continue"/>
            <w:noWrap w:val="0"/>
            <w:vAlign w:val="center"/>
          </w:tcPr>
          <w:p>
            <w:pPr>
              <w:adjustRightInd w:val="0"/>
              <w:snapToGrid w:val="0"/>
              <w:spacing w:line="236" w:lineRule="exact"/>
              <w:rPr>
                <w:rFonts w:ascii="仿宋_GB2312" w:hAnsi="宋体" w:eastAsia="仿宋_GB2312" w:cs="宋体"/>
                <w:sz w:val="16"/>
                <w:szCs w:val="18"/>
              </w:rPr>
            </w:pPr>
          </w:p>
        </w:tc>
        <w:tc>
          <w:tcPr>
            <w:tcW w:w="469"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本级财政拨款</w:t>
            </w:r>
          </w:p>
        </w:tc>
        <w:tc>
          <w:tcPr>
            <w:tcW w:w="469" w:type="pct"/>
            <w:gridSpan w:val="2"/>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上级财政专项转移支付</w:t>
            </w:r>
          </w:p>
        </w:tc>
        <w:tc>
          <w:tcPr>
            <w:tcW w:w="217" w:type="pct"/>
            <w:vMerge w:val="continue"/>
            <w:noWrap w:val="0"/>
            <w:vAlign w:val="center"/>
          </w:tcPr>
          <w:p>
            <w:pPr>
              <w:adjustRightInd w:val="0"/>
              <w:snapToGrid w:val="0"/>
              <w:spacing w:line="236" w:lineRule="exact"/>
              <w:rPr>
                <w:rFonts w:ascii="仿宋_GB2312" w:hAnsi="宋体" w:eastAsia="仿宋_GB2312" w:cs="宋体"/>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基本支出</w:t>
            </w:r>
          </w:p>
        </w:tc>
        <w:tc>
          <w:tcPr>
            <w:tcW w:w="1747" w:type="pct"/>
            <w:gridSpan w:val="3"/>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工资福利支出（统发）</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工资福利支出（非统发）</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对个人和家庭的补助</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事业单位离退休</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住房保障支出</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商品服务支出</w:t>
            </w:r>
          </w:p>
        </w:tc>
        <w:tc>
          <w:tcPr>
            <w:tcW w:w="599" w:type="pct"/>
            <w:gridSpan w:val="2"/>
            <w:noWrap w:val="0"/>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74382998 </w:t>
            </w:r>
          </w:p>
        </w:tc>
        <w:tc>
          <w:tcPr>
            <w:tcW w:w="469" w:type="pct"/>
            <w:noWrap w:val="0"/>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74382998 </w:t>
            </w:r>
          </w:p>
        </w:tc>
        <w:tc>
          <w:tcPr>
            <w:tcW w:w="469" w:type="pct"/>
            <w:gridSpan w:val="2"/>
            <w:noWrap w:val="0"/>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0"/>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教学教材、资料经费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教学教材、资料经费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1180000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1180000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学生体检、体质检测</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学生体检、体质检测</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130717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130717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教学教研经费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教学教研经费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1119889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1119889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后勤管理经费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后勤管理经费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1815294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1815294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校园活动经费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校园活动经费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230000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230000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学生活动经费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学生活动经费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180000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180000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班主任工作经费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班主任工作经费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108000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108000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购买教育服务经费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购买教育服务经费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3517408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3517408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特色教育经费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特色教育经费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350000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350000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午餐午休经费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午餐午休经费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1140000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1140000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社会实践活动专项经费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社会实践活动专项经费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239400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239400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教育教学设备</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教育教学设备</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1643000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1643000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校园修缮</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校园修缮</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2310000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2310000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四点半活动经费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四点半活动经费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2505000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2505000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校舍安全经费</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校舍安全经费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200400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200400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预算备用金</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预算备用金</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257070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257070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校园文化</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校园文化</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272280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272280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教育活动</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教育活动</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448400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448400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 xml:space="preserve">教育管理事务 </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教育管理事务</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30000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30000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vMerge w:val="continue"/>
            <w:noWrap w:val="0"/>
            <w:vAlign w:val="center"/>
          </w:tcPr>
          <w:p>
            <w:pPr>
              <w:adjustRightInd w:val="0"/>
              <w:snapToGrid w:val="0"/>
              <w:spacing w:line="236" w:lineRule="exact"/>
              <w:rPr>
                <w:rFonts w:ascii="仿宋_GB2312" w:hAnsi="宋体" w:eastAsia="仿宋_GB2312" w:cs="宋体"/>
                <w:sz w:val="16"/>
                <w:szCs w:val="18"/>
              </w:rPr>
            </w:pPr>
          </w:p>
        </w:tc>
        <w:tc>
          <w:tcPr>
            <w:tcW w:w="913"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 xml:space="preserve">老干部活动经费 </w:t>
            </w:r>
          </w:p>
        </w:tc>
        <w:tc>
          <w:tcPr>
            <w:tcW w:w="174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老干部活动经费</w:t>
            </w:r>
          </w:p>
        </w:tc>
        <w:tc>
          <w:tcPr>
            <w:tcW w:w="59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120000 </w:t>
            </w:r>
          </w:p>
        </w:tc>
        <w:tc>
          <w:tcPr>
            <w:tcW w:w="469"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120000 </w:t>
            </w:r>
          </w:p>
        </w:tc>
        <w:tc>
          <w:tcPr>
            <w:tcW w:w="469" w:type="pct"/>
            <w:gridSpan w:val="2"/>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c>
          <w:tcPr>
            <w:tcW w:w="217" w:type="pct"/>
            <w:noWrap/>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83"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416" w:type="pct"/>
            <w:gridSpan w:val="11"/>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目标1：加强基本支出使用管理工作，保障工资福利支出的正确性和及时性</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目标2：加强教学教材及学生课本资料费使用管理工作，保障教学工作的顺利开张</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目标3：加强学生体检及体质检测费使用管理工作，注重学生身心健康发展</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目标4：加强教育管理经费、教学教研经费使用管理工作，创建各项学科教学，完善各种课程体系，加强教师培训，提高综合素质。</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目标5：加强后勤管理经费使用管理工作，进一步规范后勤管理，提高服务水平，保障教育教学工作的正常开展。</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目标6：加强项目支出使用管理工作，健全各项规章制度，规范管理，完善机制，</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目标7：加强生均外经费使用管理工作 ，丰富学生活动，继续保持传统学校的优势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2"/>
            <w:noWrap/>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2"/>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702"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970"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529"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财务管理制度执行有效性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财务管理制度健全性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项目管理制度健全性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项目管理经费支出制度</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项目管理制度执行有效性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固定资产管理有效性</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全体项目</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各项工作任务按质按量完成</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各项工作任务按质按量完成</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师生家长满意度</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开展学校正常的教学工作，丰富学生校园生活，担负教书育人的重大任务，使社会满意，师生满意，家长满意</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97"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702" w:type="pct"/>
            <w:gridSpan w:val="2"/>
            <w:noWrap/>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970" w:type="pct"/>
            <w:gridSpan w:val="6"/>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529" w:type="pct"/>
            <w:gridSpan w:val="2"/>
            <w:noWrap w:val="0"/>
            <w:vAlign w:val="bottom"/>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6"/>
      </w:pPr>
      <w:r>
        <w:br w:type="page"/>
      </w:r>
      <w:r>
        <w:t>表十七：项目支出绩效目标填报表</w:t>
      </w:r>
    </w:p>
    <w:p>
      <w:pPr>
        <w:pStyle w:val="7"/>
        <w:spacing w:after="156"/>
        <w:rPr>
          <w:rFonts w:cs="宋体"/>
        </w:rPr>
      </w:pPr>
      <w:r>
        <w:rPr>
          <w:rFonts w:hint="eastAsia"/>
        </w:rPr>
        <w:t>（2021年度）</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258"/>
        <w:gridCol w:w="470"/>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午餐午休经费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余宏建</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1140000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1140000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按照深府办规（2018）8号文要求，增加午餐午休管理费预算项目，为学生提供健康、营养的午餐和经济、安全的午休服务。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《深圳市人民政府办公厅关于进一步加强义务教育阶段学生午餐午休管理的意见》（深府办规（2018）8号）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加强义务教育阶段学生午餐午休管理事关学生健康成长和百万家庭福祉。按照深府办规（2018）8号文要求，增加午餐午休管理费，为学生提供健康、营养的午餐和经济、安全的午休服务。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制度：《育才一小预算经费管理制度》、《育才一小经费支出和报账的有关规定》、《育才一小校园物资采购规程》</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措施：严格按照上级要求和我校财务管理制度管理经费，专款专用；由学校教职工承担管理工作，制定管理细则。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每个上学日向有需求的学生提供午餐午休服务。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全面加强校内外午餐午休管理，提升我校学生午餐午休服务的供给能力和保障水平。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通过资金投入，为学生提供健康、营养的午餐和经济、安全的午休服务，实现全部有需求的学生在校内午餐午休的目标。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按照深府办规（2018）8号文要求，学校午餐午休为1140000元：150元/天/人*100天/学期*38人*2学期=1140000元。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服务质量监控有效性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管理人员数量</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食品安全问题发生次数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服务频率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每个上学日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学生身心健康</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8"/>
        <w:gridCol w:w="337"/>
        <w:gridCol w:w="573"/>
        <w:gridCol w:w="789"/>
        <w:gridCol w:w="652"/>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79" w:type="pct"/>
            <w:gridSpan w:val="4"/>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厕所革命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6"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343"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2"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26815735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79" w:type="pct"/>
            <w:gridSpan w:val="4"/>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2"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0" w:type="pct"/>
            <w:gridSpan w:val="5"/>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0" w:type="pct"/>
            <w:gridSpan w:val="5"/>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经常性项目</w:t>
            </w:r>
          </w:p>
        </w:tc>
        <w:tc>
          <w:tcPr>
            <w:tcW w:w="1545" w:type="pct"/>
            <w:gridSpan w:val="4"/>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4" w:type="pct"/>
            <w:gridSpan w:val="2"/>
            <w:noWrap w:val="0"/>
            <w:vAlign w:val="center"/>
          </w:tcPr>
          <w:p>
            <w:pPr>
              <w:adjustRightInd w:val="0"/>
              <w:snapToGrid w:val="0"/>
              <w:spacing w:line="236"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1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7" w:type="pct"/>
            <w:gridSpan w:val="3"/>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0" w:type="pct"/>
            <w:gridSpan w:val="5"/>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1" w:type="pct"/>
            <w:gridSpan w:val="2"/>
            <w:noWrap/>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0" w:type="pct"/>
            <w:gridSpan w:val="5"/>
            <w:noWrap w:val="0"/>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450000 </w:t>
            </w:r>
          </w:p>
        </w:tc>
        <w:tc>
          <w:tcPr>
            <w:tcW w:w="611" w:type="pct"/>
            <w:gridSpan w:val="2"/>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36" w:lineRule="exact"/>
              <w:jc w:val="right"/>
              <w:rPr>
                <w:rFonts w:ascii="仿宋_GB2312" w:hAnsi="宋体" w:eastAsia="仿宋_GB2312" w:cs="宋体"/>
                <w:sz w:val="16"/>
                <w:szCs w:val="18"/>
              </w:rPr>
            </w:pPr>
            <w:r>
              <w:rPr>
                <w:rFonts w:hint="eastAsia" w:ascii="仿宋_GB2312" w:hAnsi="宋体" w:eastAsia="仿宋_GB2312"/>
                <w:sz w:val="16"/>
                <w:szCs w:val="18"/>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涵盖安全处、网络中心和各部门的不确定性零时需要修缮的项目，</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通过校园修缮项目的实施，改善师生的学习、工作环境，达到环境育人目的。外树形象，以崭新的校容校貌迎接兄弟学校参观交流，展示南山教育优质化办学硬件，保障师生人身安全和学校财产安全。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设计费2.25万，监理费2.25万，工程费40万。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安全高于一切，安全大于一切，安全重于一切。没有了安全保障，生命财产存在严重威胁，师生安全、教育教学，校舍设备得不到保障。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1.制度管理</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①《政府采购法规汇编》（深圳市南山区政府及招标中心，2019.5）；</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②《南山区建设工程预选库管理办法资料汇编》（南山区住房和建</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设局，2019.3）；</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③《南山区教育系统财务制度汇编》（2010.11）；</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④《深圳市南山实验教育集团财务制度汇编》（2017.3）</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⑤《关于工程预算、结算文件备案的通知》（南山区工程造价管理站）（2018.8.22）</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2、采取措施</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①业务方面，建立健全完善的制度保障项目的顺利开展，建立健全</w:t>
            </w:r>
          </w:p>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的风险预警机制以及项目紧急问题处理制度，保障项目的顺利完成。每个项目落实责任科室，具体负责项目的实施管理，包括制定项目管理方案，检查并督导工作进度，对项目开展进行质量控制，对资料及经费使用情况进行审核。</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②财务方面，每月对项目工作和预算执行情况进行自查、汇总和上报集团后勤和安全保障中心，中心每季度进行通报，将项目执行纳入部门绩效。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1.全年开展项目推进和财务报账的管理工作，实行预验收和正式验收环节；</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 xml:space="preserve">  2.每周行政例会，讨论通过立项申请，并督促相关部门积极落实和推进。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36" w:lineRule="exact"/>
              <w:rPr>
                <w:rFonts w:hint="eastAsia" w:ascii="仿宋_GB2312" w:hAnsi="宋体" w:eastAsia="仿宋_GB2312"/>
                <w:sz w:val="16"/>
                <w:szCs w:val="18"/>
              </w:rPr>
            </w:pPr>
            <w:r>
              <w:rPr>
                <w:rFonts w:hint="eastAsia" w:ascii="仿宋_GB2312" w:hAnsi="宋体" w:eastAsia="仿宋_GB2312"/>
                <w:sz w:val="16"/>
                <w:szCs w:val="18"/>
              </w:rPr>
              <w:t>1.2021年12月20日，完成校园修缮中涉及的项目，项</w:t>
            </w:r>
          </w:p>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目资金支出达到99%。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通过本项目的开展，完成校园修缮项目资金的支出，以实现安全无隐患，以崭新的校容校貌示人，师生满意度达到95%以上，全年支出达到99%等目标。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36" w:lineRule="exact"/>
              <w:rPr>
                <w:rFonts w:ascii="仿宋_GB2312" w:hAnsi="宋体" w:eastAsia="仿宋_GB2312" w:cs="宋体"/>
                <w:sz w:val="16"/>
                <w:szCs w:val="18"/>
              </w:rPr>
            </w:pPr>
            <w:r>
              <w:rPr>
                <w:rFonts w:hint="eastAsia" w:ascii="仿宋_GB2312" w:hAnsi="宋体" w:eastAsia="仿宋_GB2312"/>
                <w:sz w:val="16"/>
                <w:szCs w:val="18"/>
              </w:rPr>
              <w:t>设计费2.25万，监理费2.25万，工程费40万。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36"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采购管理制度健全性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采购程序的合规性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采购验收操作合规性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项目档案完整性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厕所维护及维修</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采购验收达标率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厕所革命及时性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2021.12.20前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学校教育设施水平</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1258"/>
        <w:gridCol w:w="470"/>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1985294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1985294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随着学校事业的持续发展，我校对后勤管理工作的重视性越来越高，后勤工作是学校工作的重要组成部分，在学校管理中心，后勤管理以大局为先，以服务为重，从学校实际情况出发，以搞好服务保障为基础，以目标管理、制度管理、规范管理为手段，以提高效益为目的，尽量做到少花钱多办事，提高教育经费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《教育系统2021部门预算指引》编制；《关于印发深圳市中小学校和幼儿园配备专业保安员工作实施方案的通知》深公（治）字【2010】273号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随着学校事业的持续发展，我校对后勤管理工作的重视性越来越高，学校后勤管理涉及物资管理、财务管理、宿舍管理及食堂管理等诸多内容，若是某个工作环节存在缺陷，将直接影响到学校的稳定运转，对学校的各项工作都会造成一定影响，在学校的持续发展中起着至关重要的影响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制度：《学校后勤管理办法》</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措施：强化后勤管理人员的服务意识；科学分配学校物资及资金；完善学校后勤管理制度；加强后勤管理工作的创新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后勤服务作为一项基础和保障性工作是学校工作中不可缺少的重要组成部分，建立、完善和落实规章制度，加强后勤管理工作，提高管理效益，充分利用设备、设施、场地、物资，同时在后勤管理工作中不断存进创新动力，建立精细化管理，强调建立学习型组织，提升成员学习力、执行力，时时处处体现后勤管理育人，服务育人，环境育人功能，不断提升学校后勤的服务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上半年支出50%，下半年支出100%。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源节流，增收节支，管好用水用电，切实减少费用支出，增强工作的计划性，科学管理安排各项工作；进一步完善购物领物工作，按月分类实施财产审核，杜绝浪费；全面提升后勤人员素质，服务意识、节俭意识，增收意识不断加强，力争师生、家长和学校“三满意”，落实校园整体规划，不断优化校园环境，发挥环境育人的整体功能；严肃财经纪律，完善和规范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通过资金投入，学校整体清洁1-2次/周，安全检查2-3/周，提升学校综合水平。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"1.清洁服务费50666.67*12＝608000，50666.67元/月，清洁工8人，绿化人员1人；后勤人员工资9190元/月,4名，7500*4*12＝360000元；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2.校园保安经费726000元，5500元/月，配备人数：小学每校区11名，5500*11*12＝726000元；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3.党建工作经费90000元：60个党员，每个党员1500元/年.1500*60＝90000元；</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4.2020年后勤人员工资未付金额80000元，后勤人员加班费121294.2元；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校园整体清洁次数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食堂卫生合格率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学校竞争力</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1258"/>
        <w:gridCol w:w="470"/>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四点半活动经费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2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5"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20" w:lineRule="exact"/>
              <w:jc w:val="right"/>
              <w:rPr>
                <w:rFonts w:ascii="仿宋_GB2312" w:hAnsi="宋体" w:eastAsia="仿宋_GB2312" w:cs="宋体"/>
                <w:sz w:val="16"/>
                <w:szCs w:val="18"/>
              </w:rPr>
            </w:pPr>
            <w:r>
              <w:rPr>
                <w:rFonts w:hint="eastAsia" w:ascii="仿宋_GB2312" w:hAnsi="宋体" w:eastAsia="仿宋_GB2312"/>
                <w:sz w:val="16"/>
                <w:szCs w:val="18"/>
              </w:rPr>
              <w:t xml:space="preserve">2505000 </w:t>
            </w:r>
          </w:p>
        </w:tc>
        <w:tc>
          <w:tcPr>
            <w:tcW w:w="610" w:type="pct"/>
            <w:gridSpan w:val="2"/>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20" w:lineRule="exact"/>
              <w:jc w:val="right"/>
              <w:rPr>
                <w:rFonts w:ascii="仿宋_GB2312" w:hAnsi="宋体" w:eastAsia="仿宋_GB2312" w:cs="宋体"/>
                <w:sz w:val="16"/>
                <w:szCs w:val="18"/>
              </w:rPr>
            </w:pPr>
            <w:r>
              <w:rPr>
                <w:rFonts w:hint="eastAsia" w:ascii="仿宋_GB2312" w:hAnsi="宋体" w:eastAsia="仿宋_GB2312"/>
                <w:sz w:val="16"/>
                <w:szCs w:val="18"/>
              </w:rPr>
              <w:t xml:space="preserve">2505000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我校响应教育局号召，开展“四点半活动”，形式多样、丰富多彩，包括：“校园体育一小时”、校园足球、“高雅艺术进校园”、“国学课堂”、“艺术大讲堂”、“科学家进校园”、“名师名家进校园”、百部经典文化艺术作品欣赏等。市教育局按生均1000元标准，对各校今年的活动开展予以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《教育部办公厅关于做好中小学生课后服务工作的指导意见》（教基一厅〔2017〕2号）、《广东省教育厅关于做好中小学生校内课后服务工作的指导意见》（粤教基[2018]9号）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为解决中小学生放学后托管问题，我市教育局在试点中小学校开展“四点半活动”，即在下午四点半放学后开展德育、体育、艺术、科技创新等方面的活动，既解决了家长安心工作的后顾之忧，又让学生在学校接受了更有意义的课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制度：《育才一小预算经费管理制度》、《育才一小经费支出和报账的有关规定》、《育才一小校园物资采购规程》措施：严格按照上级要求和我校财务管理制度管理经费，专款专用；由教学、安全部门和家长义工组成专门管理团队，制定管理细则、活动指引；广泛向师生、家长征求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上学日下午放学后，开展丰富多彩的文体活动、特色课程。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开展学生课外作业辅导、各类兴趣类活动、能力提升活动等为学生打造健康成长、快乐学习、增长知识的乐园，提升学生综合素质，解决学生放学托管难的问题。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放学后开展丰富多彩的校园活动，解决学生放学后托管问题，培养学生活动热情、提升学生综合素质。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四点半活动经费2505000元。体育运动40万，音乐素养30万，美术专长35万，兴趣培养20万，科学探究20万，发明创造20万，其他项目85.5万，合计250500元。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资金到位及时率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活动计划执行率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活动举办数量</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≥150场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活动多样性</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所涉学科超3种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活动举办频率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平均至少每周2次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解决学生放学托管问题</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有效解决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8"/>
        <w:gridCol w:w="339"/>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学校特色经费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4"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18"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400000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开展博物馆课程、传统文化特色等特色教育，提升学生综合素质和思想文化水平；建设健康学校、健康食堂，为学生提供良好的学习环境，保证其身心健康。各工作任务均为区教育局支持项目。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《深圳市中小学素质教育特色学校创建实施方案》（深教（2010）426号）、《中共深圳市委 深圳市人民政府关于印发健康深圳行动计划（2017 — 2020）的通知》、《全民健康生活方式行动方案（2017-2025年）》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我校响应国家、市委市政府、教育局号召，开展系列特色教育活动、建设健康学校和建设食堂、创新应用教育信息化手段，以提升学生的身心健康水平。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制度：《育才一小小学预算经费管理制度》、《育才一小经费支出和报账的有关规定》、《育才一小学校园物资采购规程》</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措施：严格按照上级要求和我校财务管理制度管理经费，专款专用；学校有专门部门负责督办项目，保证项目合规高效推进。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开设博物馆课程、传统文化特色课程；定期开展健康教育；开展信息化与学科融合专项课题的研究。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按项目实际进度支出。计划第一季度达25%；第二季度达到50%；第三季度达到75%；第四季度支出达到100%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向学生提供特色课程和活动，促进学生全面发展和个性发展。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通过资金支出，向学生提供优质的特色活动和教育课程，有效提升学生身心健康水平。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"（1）中华古法纸艺100,000元；（2）课堂教学行为大数据诊断与改进100000元；（3）学校足球专项经费150000元；（4）博物馆课程50000元；</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以上各项合计400000元"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监控措施有效性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举办特色教育活动次数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课程考核合格率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特色课程开课时间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2021年上半年开课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学生身心健康</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9"/>
        <w:gridCol w:w="337"/>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学生体检、体质检测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李永岚</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5"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1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129935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129935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卫生部及教育部印发的《中小学生健康体检管理办法》通知的要求，为更好地了解学生身体健康情况，防治常见疾病，为学生在校学习和生活打下良好的基础，学校每年定期开展学健康体检和体质监测，建立完善的健康档案，同时，加强健康教育知识培训和行为干预，使在校学生从小养成良好的生活习惯，定期检查及时防治，保证学生学习和生活中有一个健康的体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《2021部门预算“二上”编报指引》《中小学生健康体检管理办法》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随着社会的不断发展和进步，学校和家长对学生的健康的越来越重视。为了了解在校学生的健康状况，建立完善的健康档案，树立从小培养学生防病意识，对中小学生进行定期体检是保证学生身体健康的方法之一，也是预防疾病的有效的途径。中小学生是国家的希望和未来，关注学生健康和疾病预防刻不容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1.为在校学生每年进行一次常规健康体检和体质监测；</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2.设立在学校内的体检场地需满足健康体检对检查环境的要求；</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3.健康体检和体质检测结束后，向学生和家长以个体报告形式反馈结果；</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4.根据学生体检结果和体检单位给出的指导意见，研究制定促进学生健康的措施，有针对性的开展促进学生健康的各项工作。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我校实际情况，体检单位和学校互相协调成立领导工作小组，对参加体检人员进行知识培训，并在培训后1-2周的时间内开展查体工作。该工作覆盖全校学生，对全校各个班级逐个开展，通过体检及时了解学生健康状况，以达到早防早治的目的。同时，对体检中发现的问题及时反馈给家长，体检结束后及时将体检结果上报到市卫生防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1.2021年5月,支付健康体检费用；</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4.2021年10月，支付体质检测费用。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定期对在校学生的全面体检，发现并改善学生的不良生活、学习习惯，时刻关注学生身体健康，加强健康知识教育，使广大学生从小养成良好学习生活习惯。学校始终时刻关心学生健康，支持教育事业，为教育事业增砖添瓦，贡献学校自己的一份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2021年对在校学生进行至少一次健康体检和体质检测。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小一学生体检费441*57.6＝25401.6，其它年级学生体检费2064*28.8＝59443.2、学生体质检测费2505*18＝129934.8元。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体检学生完成数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疾病预防水平</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rPr>
          <w:rFonts w:hint="eastAsia"/>
        </w:rPr>
      </w:pPr>
    </w:p>
    <w:p>
      <w:pPr>
        <w:pStyle w:val="2"/>
        <w:ind w:firstLine="210"/>
        <w:rPr>
          <w:rFonts w:hint="eastAsia"/>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997"/>
        <w:gridCol w:w="731"/>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余宏建</w:t>
            </w:r>
          </w:p>
        </w:tc>
        <w:tc>
          <w:tcPr>
            <w:tcW w:w="647"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400"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252"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160000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定期开展校园文化活动，如英语节，音乐节，科技节，体育节等，改善当前中小学教育存在的重分数轻素质、重知识轻能力、重书本轻实践等问题，提升中小学生身心健康水平，增强创新实践能力，更好地适应城市现代化、国际化、信息化对人才的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国家中长期教育改革和发展规划纲要（2010-2020）》（中发〔2010〕12号）、《深圳市教育局关于进一步提升中小学生综合素养的指导意见》、《中共深圳市委市政府关于推进教育改革发展率先实现教育现代化的决定》（深发〔2010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活动可以让学生走出课堂，接触实际，接触社会，能投激发他们革命思想的火花，培养热爱家乡、热爱国家的思想情感，提高学生缜密的科学态度，丰富多彩的学生活动可以不断促进学生为客服困难和实现目标的集体主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国家中长期教育改革和发展规划纲要（2010-2020）》（中发〔2010〕12号）、《深圳市教育局关于进一步提升中小学生综合素养的指导意见》、《中共深圳市委市政府关于推进教育改革发展率先实现教育现代化的决定》（深发〔2010〕10号）、《xx小学制度汇编》</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措施：结合学校实际情况，针对学生身心成长的阶段特点，循序渐进安排教育教学活动，避免短期化和功利化倾向，促进学生终身发展。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结合学校实际情况，不定期开展英语节，音乐节，科技节，体育节等学生活动。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根据实际学生活动开展实际情况进行支出，计划第一季度达25%；第二季度达到50%；第三季度达到75%；第四季度支出达到100%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坚持“儿童优先”和“一切为了学生健康成长”的核心理念，着力培养爱学习、爱劳动、爱祖国，身心健康、人格健全、社会责任感强，具备国际视野、较强创新精神和实践能力的特区新一代青少年。解决当前中小学教育存在的重分数轻素质、重知识轻能力、重书本轻实践等问题，提升中小学生身心健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通过资金支出，不定期开展多种多样的学生活动，有效提升学生品德素养和身心素养。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学生活动160000元,其中六一节活动费50000元，艺术节30000元，体育节30000元，六年级毕业活动费10000元，元旦新年活动费10000元，其他活动费30000元。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学生活动开展数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≥6场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教育多元化</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258"/>
        <w:gridCol w:w="470"/>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教学教材、资料经费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徐宜</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1180882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1180882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我校建立了丰富而全面的课程体系，经过几年的发展，形成了体育与艺术、文学与阅读、科学与创客等一系列课程，极大地增强了学生的区域竞争力，学校希望通过引进多种多样的教学教材，帮助学生吸收知识，帮助老师提升二次开发教材能力，满足学生学习生活中的需求，完善课程体系，丰富课程类型，更好地为社区提供优质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《关于2018年中小学教学用书有关事项的通知》、《2016年义务教育教学用书目录》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长期以来，教学教材作为教学工具，帮助了学生从中吸收知识，掌握学习的规律，但教学并不是“教教材”，教师教学过程中发挥聪明才智，对教材进行二次开发、挖掘知识内涵，让学生学习知识的同时具备逻辑思考能力，培养学生探究精神和自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每年春秋两季进行教材订购，教务科组织各科研组根据新学期教学期教学计划所列教学任务，填写教材订购单，包括教材名称、书号、编者、出版社、适用班级、册数、金额等项目，制定采购计划，报领导审批，与区教育局指定的教材发行站确定订购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在2021年春季和秋季两季分别购置学生教材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1.2021年3月,支付春季教材订购费用的50%；</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2.2021年4月,支付春季教材订购费用剩余50%；</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3.2021年10月，支付秋季教材订购费用的50%；</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4.2021年11月，支付秋季教材订购费用剩余50%；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培养教师根据教材内容作出教学设计，对教材增删部分进行明确，确定教学内容。在教学过程中辅助学生吸收知识，培养和提升学习能力的同时，学生依据教材知识进行小组讨论、交流，拉近学生和各科知识之间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在2021年陆续完成符合在校人数的教材购置，保证教学过程中教学工具的及时更新，提升教学内容内涵，为教学工作制定教学方向。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教学教材费用1180882元,根据2020年全年教材费用940000元，2020年还有240882元教材费未付，这样测算2021年教材费940000+240882＝1180882元。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教材购置完成数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50100本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学校竞争力</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8"/>
        <w:gridCol w:w="339"/>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教学教研经费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4"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1018"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1099889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1099889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我校为了改进学校的教育教学，提高学校的教育教学质量，从学校的实际出发，依托学校自身的资源优势和特色进行的教育教学研究。校本教研是基于校级教研活动的制度化规范，其基本特征是以校为本，强调围绕学校自身遇到的问题开展研究。学校是教学研究的基地，教师是教学研究的主体，促进师生共同发展是教学研究的直接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"文件依据：《2021部门预算“二上”编报指引》；《关于提升深圳高中教育国际化水平的提案》；《深圳市推进教育国际化行动计划（2013—2020年》（深教〔2013〕83号）</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现实依据：根据学校实际情况，结合学校特色活动和以往经验"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教研和教学是学校的一项主要工作，教研是教学的另一种关键形式，教学教研互为依托，相互促进。是平衡教师专业的经纬，教研和教学的结合可以推动教师专业水平的提高，进而提高学校的教学质量，通过互相学习和借鉴经验，形成特色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1.开学初根据上级教育部门的指使，根据学校实际情况制定切实可行的教研活动计划，严格按照该计划开展教学活动；为加强教学研究、教改研究活动，提高教师教学水平和教学效果，全体教师需积极、准时参加；</w:t>
            </w:r>
          </w:p>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2.每次活动确定一个主题，力求做到活动有目的、有内容、有质量、有所得每次教研教学需做好记录；</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3.总结经验，加以推广应用，争取教学有所创新、有所发展，并对学校对表现优秀的师生给予奖励。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学校严格执行课程计划，坚持按课表上课，保质保量上好每一节常态课，教导处加强随堂检查；强调“五抓”，抓备实课，抓活课堂，抓勤辅导，抓精联系，抓细分析；“小处”着眼，进一步落实校本研训，巩固已有教研成果，增加开展各式各样教学活动，活跃气氛，提高师生互动，学生最大限度的参与，最终让每个学生都有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根据实际教研、教学活动进行支出，预计上半年支出45%，下半年支出55%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开展教研活动，博彩众人之长，发挥集体智慧，活跃教学氛围，提高教育教学效益，并充分利用教师资源激发教师学习、研究和改革的积极性，以点带面推广先进经验，调高课堂质量。开展丰富多彩的活动，让学生充分发挥自己的兴趣爱好和特长，从而达到培养创新实践人才和实现人的全面发展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深圳市推进教育国际化行动计划（2013—2020年》（深教〔2013〕83号）,按照教学计划，开足课时，定期开展教研工作，优化教学环节，开设体音美、健康教育课程，定期开展各项比赛和活动，活跃教学气氛，拉近学生和教师的距离，不断提升学校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"1.非教育教学管理经费：291,889元</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2.奖学经费、教研科研奖励经费808000元，根据往年年平均资金规模测算；"其中差旅费200000元、奖学经费50000元、教研及培训课题活动费758000、其他商品服务558000元。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课外活动、比赛开展数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活动完成率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教学科研能力</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995"/>
        <w:gridCol w:w="733"/>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教育教学设备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399"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1252"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1643000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1643000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根据《国家中长期教育改革和发展规划纲要（2010-2020年）》的发布实施，深圳确立了教育优先发展战略，加大教育投入，用好管好教育经费，制定和出台了一系列政策措施，保障深圳教育事业优先优质发展。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教学需要，根据《2021年教育系统预算指引》编制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深圳市教育工作会议上发布了《关于推进教育改革发展率先实现教育现代化的决定》，提出“教育成就民生幸福，教育决定深圳未来”的理念，明确了我市未来教育事业的战略目标，主要任务、改革重点和保障措施，其中为学生提供优良的教学环境和教学设备作为一项基本工作需不断推进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制度：《关于优化深圳市义务教育财政投入结构的意见》（深府办[2011]3号）《国家中长期教育改革和发展规划纲要（2010-2020年）》</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措施：对于学校教学设备、物资的购买专款专用，严格执行相关部门指导意见，为学生创造更优良的学习环境和氛围。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2021年上半年陆续完成学校软硬件采购和改装，下半年完成校园电视台建设。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根据学校实际，预计2021年上半年支出70%，下半年支出30%。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针对我市外来人口多、原特区外教育事业薄弱、市区之间义务教育发展不均衡的情况，我校把握投入导向，合理均衡配置公共教育资源，以优质教育服务惠及民生，积极促进教育公平，最大限度发挥教育经费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在2021年陆续完成符合在校人数的设备购置，保证教学过程中教学工具的及时更新，提升教学内容内涵，为教学工作制定教学方向。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"1、固态硬盘50,000元：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2、教室及办公室紫外线灯90,000元：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3、宿舍家具65,000元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4、测温棚70,000元，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5、电脑40,000元，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6、体育场地胶皮70,000元，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 xml:space="preserve">7、办公室卡位330,000元。" </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8、零星购置200,000元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9、空调40,000元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10、照相器材55,000元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11、网络回溯设备450,000元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12、图书95,000元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13、消防器材20,000元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14、打印机8,000元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15、显示器20,000元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16、后门岗亭 20,000元</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17、平板电脑20,000元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打印机</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显示器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平板电脑</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照相器材</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7套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电脑</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空调</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设备替换合理性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设备更新及时性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教师满意度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校园硬件设施</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258"/>
        <w:gridCol w:w="470"/>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448400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448400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我校建立了丰富而全面的课程体系，经过几年的发展，形成了体育与艺术、文学与阅读、科学与创客等一系列课程，极大地增强了学生的区域竞争力，提升了学校教学质量和社会美誉度，学生综合素养得以落实，在第一二届学生技能竞赛中均获一等奖，有鉴于此，学校希望通过引进更多的课程，满足学生与家长的需求，完善课程体系，丰富课程类型，更好地为社区提供优质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《关于全面深化中小学课程改革的指导意见》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随着学生规模不断扩大，学生、家长需求越来越高，现有教师资源无法满足课程设置以及学生需求。为担当起国家深化中小学课程改革试点城市的责任和使命，全面提升中小学生综合素养，结合深圳实际，对系统深化中小学课程建设改革势在必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制度：《关于全面深化中小学课程改革的指导意见》《育才一小制度汇编》</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措施：我校严格按照相关指导意见对课程建设实施改革，专款专用有效落实，不断提升我校的综合竞争力。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1.体育类课程，引进足球、羽毛球、乒乓球、游泳等课程；</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2.文学类课程，引进阅读、写作等课程；</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3.艺术类课程，组建管乐团、合唱队、民乐团等课程；</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4.综合类课程，引进创客、机器人编程、AI人工智能、中国芯等项目；</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5.教师培训，通过外派、引进等方式，对全体教师进行专业培训。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1.2021年上半年，预计完成支出进度50%；</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2.2021年下半年，预计完成支出进度100%。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坚持立德树人的根本要求，以“一切为了孩子的健康成长”为根本理念，把培育和践行社会主义核心价值观融入教育全过程，以全面提升中小学生综合素养为主要任务，以强化学生社会责任感、创新精神和实践能力培养为重点，以体育、艺术、文学和综合教育为特色，抓住育人目标、课程结构、课程内容、课程实施、评价与资源建设、教师专业发展等主要环节，系统谋划，大胆探索，力争在重点领域和关键环节取得重大突破，打造教育深圳标准、深圳质量和深圳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通过资金支出，学校课程增加达到150门，学生参与人数达到4000人次，100%教师接收培训，外出培训达到比例70%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1.足球课程购买服务200,000元；2.美术分项课购买服务97,200元；3.手风琴分项课购买服务54,000元；4.管乐分项课购买服务97,200元。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课程数量</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课程合格率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课程评估及时性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学生综合素养</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518"/>
        <w:gridCol w:w="209"/>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教育管理事务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712"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940"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30000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根据中央扶贫工作会议精神，按照市委市政府、省教育厅、市教育局要求和部署，为推动深圳市和毕节市教育对口扶贫工作，我校与贵州省毕节市XX学校开展教育交流合作，帮助其提高办学实力和水平。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《中共深圳市委办公厅 深圳市人民政府办公厅关于印发&lt;深圳市帮扶贵州省毕节市脱贫攻坚工作方案&gt;的通知》、《深圳市教育局 毕节市教育局教育对口帮扶框架协议》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我校响应国家扶贫号召，按照市委市政府、教育局安排，开展教育交流合作，帮助其改善办学条件、提高办学实力和水平。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制度：《育才一小预算经费管理制度》、《育才一小经费支出和报账的有关规定》</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 xml:space="preserve">   措施：严格按照上级要求和我校财务管理制度管理经费，专款专用。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签订校际结对帮扶协议，多形式开展帮扶工作，开展定期学习交流活动。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按项目实际进度支出。计划第一季度达25%；第二季度达到50%；第三季度达到75%；第四季度支出达到100%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与结对学校开展教育交流与合作，帮助其提高办学实力和水平。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为与结对学校开展教育交流活动提供经费保障，帮助结对学校改善教学水平、提升办学实力。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扶贫工作经费30000（其中差旅费3000元，购置扶贫用品20000元，商品和服务支出7000元）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双方教育交流活动次数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结对学校学生考试合格率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教育交流及时性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结对学校办学水平</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结对学校师生满意度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8"/>
        <w:gridCol w:w="339"/>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文体专项资金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4"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1018"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80000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根据《教育系统2021年部门预算指引》编制，包括游泳、足球活动经费等。由对应部门负责推进项目的开展，财务部门负责审核项目资金使用情况。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《深圳市南山区文化广电旅游体育局“关于南山区青少年体育训练与竞赛经费使用标准的通知”》、《深圳市体育传统项目学校和高水平运动项目学校管理办法》、深教[2013]42号、深教[2013]146号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使学校的体育事业更好地发展，提高学生的身体素质，发展学生对篮球排球的爱好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学校制定课程安排和考勤制度，由专人进行考勤，监督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根据本年度活动情况，具体按次实施，年底实施完所有的预算。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上学期支出经费的一半4万元，下学期支出经费的一半4万元。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丰富学生体育生活，促进学生健康发展。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通过资金支出举办各种运动活动、进行各类球类运动活动宣传，有效提升学生运动水平和综合素质、提升学校知名度和社会影响力。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游泳队4万，足球球队4万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办学规范性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参加活动人数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达到合格标准</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及时报销</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丰富学生校园文体生活</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全体师生满意度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1389"/>
        <w:gridCol w:w="337"/>
        <w:gridCol w:w="573"/>
        <w:gridCol w:w="526"/>
        <w:gridCol w:w="265"/>
        <w:gridCol w:w="1021"/>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79"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3"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校园修缮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1083"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426"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79"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1083"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经常性项目</w:t>
            </w:r>
          </w:p>
        </w:tc>
        <w:tc>
          <w:tcPr>
            <w:tcW w:w="154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5"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1017"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6"/>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2310000 </w:t>
            </w:r>
          </w:p>
        </w:tc>
        <w:tc>
          <w:tcPr>
            <w:tcW w:w="610"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2310000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维护学校设施设备的正常功能，以保证教育教学活动的正常进行，为学生提供良好的受教育环境，大体可分为三类：一是维修类；二是改造建设类；三是环境改善类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根据《教育系统2021年预算编制手指引》申报。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塑造良好的校园环境、功能丰富的教学设施设备对学生学习成长必不可少。我校部分设施设备已不具备相应功能需要更换或改造，此外，美化校园环境也是必须的。本项目的设立旨在维护学校设施设备的正常功能、美化校园环境以保证教育教学活动的正常进行，为学生提供良好的受教育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深圳经济特区政府采购条例》、《深圳网上政府采购管理暂行办法》、《育才一小采购招标管理制度》、《育才一小校园物资采购规程》《育才一小工程项目招标评标方法和评分标准》、《xx小学报账员管理制度》</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措施：根据实际编制预算；严格项目管理；严格遵守相关制度、规范；指定专人督办项目确保项目顺利实施。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主要集中在暑假期间（7-8月）完成；环境消杀服务每周2次，为经常性任务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按照实际进度支出；计划上半年支出25%；下半年支出75%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维护学校设施设备的正常功能、美化校园环境以保证教育教学活动的正常进行，为学生提供良好的受教育环境。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通过资金投入，完成：1、陈旧设施设备的更换和维修；2、设施的更新改造及新设施建设；3、环境美化提升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"1、电槽改造250,000元：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2、无线网络360,000元：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3、教室、办公室维护550,000元，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4、零星维修400,000元，</w:t>
            </w:r>
          </w:p>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5、录播教室500,000元，</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6、地面维护250,000元，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1690" w:type="pct"/>
            <w:gridSpan w:val="4"/>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1702" w:type="pct"/>
            <w:gridSpan w:val="4"/>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资金到位及时性</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实施进度合理性</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进度合理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管理规范性</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更换办公室及B楼课室门</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验收合规率</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改造建设类项目完成时间</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暑期内（学生开学前）完成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改善校园环境</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师生满意度</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169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1702"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8"/>
        <w:gridCol w:w="339"/>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南山区育才一小</w:t>
            </w:r>
          </w:p>
        </w:tc>
        <w:tc>
          <w:tcPr>
            <w:tcW w:w="472"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校园文化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余宏建</w:t>
            </w:r>
          </w:p>
        </w:tc>
        <w:tc>
          <w:tcPr>
            <w:tcW w:w="343"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余建宏</w:t>
            </w:r>
          </w:p>
        </w:tc>
        <w:tc>
          <w:tcPr>
            <w:tcW w:w="569" w:type="pct"/>
            <w:gridSpan w:val="2"/>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联系电话</w:t>
            </w:r>
          </w:p>
        </w:tc>
        <w:tc>
          <w:tcPr>
            <w:tcW w:w="508" w:type="pct"/>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cs="MS Mincho"/>
                <w:sz w:val="16"/>
                <w:szCs w:val="18"/>
              </w:rPr>
              <w:t>☐</w:t>
            </w:r>
            <w:r>
              <w:rPr>
                <w:rFonts w:hint="eastAsia" w:ascii="仿宋_GB2312" w:hAnsi="黑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cs="MS Mincho"/>
                <w:sz w:val="16"/>
                <w:szCs w:val="18"/>
              </w:rPr>
              <w:t>☐</w:t>
            </w:r>
            <w:r>
              <w:rPr>
                <w:rFonts w:hint="eastAsia" w:ascii="仿宋_GB2312" w:hAnsi="黑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黑体" w:eastAsia="仿宋_GB2312"/>
                <w:sz w:val="16"/>
                <w:szCs w:val="18"/>
              </w:rPr>
            </w:pPr>
            <w:r>
              <w:rPr>
                <w:rFonts w:hint="eastAsia" w:ascii="仿宋_GB2312" w:hAnsi="黑体" w:eastAsia="仿宋_GB2312"/>
                <w:sz w:val="16"/>
                <w:szCs w:val="18"/>
              </w:rPr>
              <w:t>是否含有新增</w:t>
            </w:r>
          </w:p>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cs="MS Mincho"/>
                <w:sz w:val="16"/>
                <w:szCs w:val="18"/>
              </w:rPr>
              <w:t>☐</w:t>
            </w:r>
            <w:r>
              <w:rPr>
                <w:rFonts w:hint="eastAsia" w:ascii="仿宋_GB2312" w:hAnsi="黑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cs="MS Mincho"/>
                <w:sz w:val="16"/>
                <w:szCs w:val="18"/>
              </w:rPr>
              <w:t>☐</w:t>
            </w:r>
            <w:r>
              <w:rPr>
                <w:rFonts w:hint="eastAsia" w:ascii="仿宋_GB2312" w:hAnsi="黑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支出方向*</w:t>
            </w:r>
          </w:p>
        </w:tc>
        <w:tc>
          <w:tcPr>
            <w:tcW w:w="1634" w:type="pct"/>
            <w:gridSpan w:val="2"/>
            <w:noWrap w:val="0"/>
            <w:vAlign w:val="center"/>
          </w:tcPr>
          <w:p>
            <w:pPr>
              <w:adjustRightInd w:val="0"/>
              <w:snapToGrid w:val="0"/>
              <w:spacing w:line="240" w:lineRule="exact"/>
              <w:rPr>
                <w:rFonts w:ascii="仿宋_GB2312" w:hAnsi="黑体" w:eastAsia="仿宋_GB2312" w:cs="宋体"/>
                <w:sz w:val="16"/>
                <w:szCs w:val="20"/>
              </w:rPr>
            </w:pPr>
            <w:r>
              <w:rPr>
                <w:rFonts w:hint="eastAsia" w:ascii="仿宋_GB2312" w:hAnsi="黑体" w:eastAsia="仿宋_GB2312"/>
                <w:sz w:val="16"/>
                <w:szCs w:val="20"/>
              </w:rPr>
              <w:t>√机构运行保障类项目</w:t>
            </w:r>
          </w:p>
        </w:tc>
        <w:tc>
          <w:tcPr>
            <w:tcW w:w="1018" w:type="pct"/>
            <w:gridSpan w:val="3"/>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cs="MS Mincho"/>
                <w:sz w:val="16"/>
                <w:szCs w:val="18"/>
              </w:rPr>
              <w:t>☐</w:t>
            </w:r>
            <w:r>
              <w:rPr>
                <w:rFonts w:hint="eastAsia" w:ascii="仿宋_GB2312" w:hAnsi="黑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cs="MS Mincho"/>
                <w:sz w:val="16"/>
                <w:szCs w:val="18"/>
              </w:rPr>
              <w:t>☐</w:t>
            </w:r>
            <w:r>
              <w:rPr>
                <w:rFonts w:hint="eastAsia" w:ascii="仿宋_GB2312" w:hAnsi="黑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20210101</w:t>
            </w:r>
          </w:p>
        </w:tc>
        <w:tc>
          <w:tcPr>
            <w:tcW w:w="610" w:type="pct"/>
            <w:gridSpan w:val="2"/>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黑体" w:eastAsia="仿宋_GB2312" w:cs="宋体"/>
                <w:sz w:val="16"/>
                <w:szCs w:val="18"/>
              </w:rPr>
            </w:pPr>
            <w:r>
              <w:rPr>
                <w:rFonts w:hint="eastAsia" w:ascii="仿宋_GB2312" w:hAnsi="黑体" w:eastAsia="仿宋_GB2312"/>
                <w:sz w:val="16"/>
                <w:szCs w:val="18"/>
              </w:rPr>
              <w:t xml:space="preserve">272280 </w:t>
            </w:r>
          </w:p>
        </w:tc>
        <w:tc>
          <w:tcPr>
            <w:tcW w:w="610" w:type="pct"/>
            <w:gridSpan w:val="2"/>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黑体" w:eastAsia="仿宋_GB2312" w:cs="宋体"/>
                <w:sz w:val="16"/>
                <w:szCs w:val="18"/>
              </w:rPr>
            </w:pPr>
            <w:r>
              <w:rPr>
                <w:rFonts w:hint="eastAsia" w:ascii="仿宋_GB2312" w:hAnsi="黑体" w:eastAsia="仿宋_GB2312"/>
                <w:sz w:val="16"/>
                <w:szCs w:val="18"/>
              </w:rPr>
              <w:t xml:space="preserve">272280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加强校园文化建设是提升学生思想水平和综合素质的重要途经，是提高义务教育质量的重要手段。通过资金加强校园绿化植物，进行校园消杀，风开展扇、空调清洁及维修费。有效保障学生的正常教育教学工作。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黑体" w:eastAsia="仿宋_GB2312"/>
                <w:sz w:val="16"/>
                <w:szCs w:val="18"/>
              </w:rPr>
            </w:pPr>
            <w:r>
              <w:rPr>
                <w:rFonts w:hint="eastAsia" w:ascii="仿宋_GB2312" w:hAnsi="黑体" w:eastAsia="仿宋_GB2312"/>
                <w:sz w:val="16"/>
                <w:szCs w:val="18"/>
              </w:rPr>
              <w:t>项目申报</w:t>
            </w:r>
          </w:p>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教学需要，根据《教育系统2021部门预算指引》编制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加强校园文化建设是提升学生思想水平和综合素质的重要途经，是提高义务教育质量的重要手段。通过资金加强校园绿化植物，进行校园消杀，风开展扇、空调清洁及维修费。有效保障学生的正常教育教学工作。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黑体" w:eastAsia="仿宋_GB2312"/>
                <w:sz w:val="16"/>
                <w:szCs w:val="18"/>
              </w:rPr>
            </w:pPr>
            <w:r>
              <w:rPr>
                <w:rFonts w:hint="eastAsia" w:ascii="仿宋_GB2312" w:hAnsi="黑体" w:eastAsia="仿宋_GB2312"/>
                <w:sz w:val="16"/>
                <w:szCs w:val="18"/>
              </w:rPr>
              <w:t>制度：《育才一小财务管理制度》、《育才一小工程项目招标评标方法和评分标准》、《育才一小报账员管理制度》、《学校德育工作量化评价表》、《小学生守则》</w:t>
            </w:r>
          </w:p>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 xml:space="preserve">    措施：该项目由学校办公室、总务处等各部门根据学校环境、进行维护，保障学生的正常教育教学活动得以开展。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加强校园绿化植物，进行校园消杀，风开展扇、空调清洁及维修费。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按活动子项目支付。计划第一季度达25%；第二季度达到50%；第三季度达到75%；第四季度支出达到100%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加强校园文化建设，全面为提高义务教育质量和学生思想文化水平做好后勤服务。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通过资金加强校园绿化植物，进行校园消杀，风开展扇、空调清洁及维修费。有效保障学生的正常教育教学工作。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2021年学校在该项目支约727000元，今年根据学校情况测算为272280，其中绿化植物采购为87280元，校园消杀为9500元，风扇、空调清洁及维修费90000元。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黑体" w:eastAsia="仿宋_GB2312" w:cs="宋体"/>
                <w:sz w:val="16"/>
                <w:szCs w:val="18"/>
              </w:rPr>
            </w:pPr>
            <w:r>
              <w:rPr>
                <w:rFonts w:hint="eastAsia" w:ascii="仿宋_GB2312" w:hAnsi="黑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投入和管理目标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投入和管理目标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投入和管理目标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投入和管理目标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活动开展有序性</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投入和管理目标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产出目标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服务学生人数</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2505人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产出目标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每个学生的个性特长得以发展</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产出目标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学生进步及时得到表彰</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100%达成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效益目标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家长满意度</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效益目标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效益目标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效益目标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服务学生满意度</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效益目标</w:t>
            </w:r>
          </w:p>
        </w:tc>
        <w:tc>
          <w:tcPr>
            <w:tcW w:w="804" w:type="pct"/>
            <w:noWrap/>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黑体" w:eastAsia="仿宋_GB2312" w:cs="宋体"/>
                <w:sz w:val="16"/>
                <w:szCs w:val="18"/>
              </w:rPr>
            </w:pPr>
            <w:r>
              <w:rPr>
                <w:rFonts w:hint="eastAsia" w:ascii="仿宋_GB2312" w:hAnsi="黑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1258"/>
        <w:gridCol w:w="470"/>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校园活动经费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余宏建</w:t>
            </w:r>
          </w:p>
        </w:tc>
        <w:tc>
          <w:tcPr>
            <w:tcW w:w="647" w:type="pct"/>
            <w:gridSpan w:val="2"/>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2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5"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20" w:lineRule="exact"/>
              <w:jc w:val="right"/>
              <w:rPr>
                <w:rFonts w:ascii="仿宋_GB2312" w:hAnsi="宋体" w:eastAsia="仿宋_GB2312" w:cs="宋体"/>
                <w:sz w:val="16"/>
                <w:szCs w:val="18"/>
              </w:rPr>
            </w:pPr>
            <w:r>
              <w:rPr>
                <w:rFonts w:hint="eastAsia" w:ascii="仿宋_GB2312" w:hAnsi="宋体" w:eastAsia="仿宋_GB2312"/>
                <w:sz w:val="16"/>
                <w:szCs w:val="18"/>
              </w:rPr>
              <w:t xml:space="preserve">200000 </w:t>
            </w:r>
          </w:p>
        </w:tc>
        <w:tc>
          <w:tcPr>
            <w:tcW w:w="610" w:type="pct"/>
            <w:gridSpan w:val="2"/>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20" w:lineRule="exact"/>
              <w:jc w:val="right"/>
              <w:rPr>
                <w:rFonts w:ascii="仿宋_GB2312" w:hAnsi="宋体" w:eastAsia="仿宋_GB2312" w:cs="宋体"/>
                <w:sz w:val="16"/>
                <w:szCs w:val="18"/>
              </w:rPr>
            </w:pPr>
            <w:r>
              <w:rPr>
                <w:rFonts w:hint="eastAsia" w:ascii="仿宋_GB2312" w:hAnsi="宋体" w:eastAsia="仿宋_GB2312"/>
                <w:sz w:val="16"/>
                <w:szCs w:val="18"/>
              </w:rPr>
              <w:t xml:space="preserve">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不定期开展校园文化活动，如英语节，音乐节，科技节，体育节等，提升学校文化气息，开放学生思维和学习能力，向社会各界展示学生乐观积极、敢于拼搏的精神风貌。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教学需要，根据《教育系统2021部门预算指引》编制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校园文化作为一种特殊的文化现象，体现一种和谐，代表一种风气，其孕育着强大的教育力量。开展不同的校园文化活动不仅促进了学生思想政治教育工作，还丰富了校园文化生活，提高学生的综合素质和能力，培养广大学生“自信、开放、创新”的意识，向社会各界展示学生乐观积极、敢于拼搏、锐意进取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制度：《广东省人民政府办公厅关于全面加强和改进学校美育工作的实施意见》《国务院办公厅关于全面加强和改进学校美育工作的意见》</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措施：结合学校实际情况，有序推进、因地制宜开展校园活动。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结合学校实际情况，因地制宜的开展英语节，音乐节，科技节，体育节等活动，积极加强学校内部、学校之间、区域之间的交流和学习、资源整合和共享。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根据实际校园文化宣传、校园文化活动情况进行支出，预计上半年支出60%，下半年支出40%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落实立德树人根本任务，弘扬社会主义核心价值观，坚持以普及促提高、以提高带普及，引导学生树立正确的审美观念、陶冶健康的审美情趣、培养良好的艺术修养，促进学生德智体美全面发展，推进学校美育改革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通过资金支出，不定期开展英语节，音乐节，科技节，体育节等校园文化活动，不断提升校园文化氛围。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校园活动200000元，数学节3万，英语节3万，艺术节3万，科技节3万，体育节4万，其他活动4万。合计20万元。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资产使用充分性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师生参加数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校园文化氛围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精神文明</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家长满意度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126"/>
        <w:gridCol w:w="602"/>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校舍安全经费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余宏建</w:t>
            </w:r>
          </w:p>
        </w:tc>
        <w:tc>
          <w:tcPr>
            <w:tcW w:w="569" w:type="pct"/>
            <w:gridSpan w:val="2"/>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2"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477" w:type="pct"/>
            <w:gridSpan w:val="2"/>
            <w:noWrap w:val="0"/>
            <w:vAlign w:val="center"/>
          </w:tcPr>
          <w:p>
            <w:pPr>
              <w:adjustRightInd w:val="0"/>
              <w:snapToGrid w:val="0"/>
              <w:spacing w:line="232"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1174" w:type="pct"/>
            <w:gridSpan w:val="3"/>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√一般事业发展性项目</w:t>
            </w:r>
          </w:p>
        </w:tc>
        <w:tc>
          <w:tcPr>
            <w:tcW w:w="508"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2"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32" w:lineRule="exact"/>
              <w:jc w:val="right"/>
              <w:rPr>
                <w:rFonts w:ascii="仿宋_GB2312" w:hAnsi="宋体" w:eastAsia="仿宋_GB2312" w:cs="宋体"/>
                <w:sz w:val="16"/>
                <w:szCs w:val="18"/>
              </w:rPr>
            </w:pPr>
            <w:r>
              <w:rPr>
                <w:rFonts w:hint="eastAsia" w:ascii="仿宋_GB2312" w:hAnsi="宋体" w:eastAsia="仿宋_GB2312"/>
                <w:sz w:val="16"/>
                <w:szCs w:val="18"/>
              </w:rPr>
              <w:t xml:space="preserve">200400 </w:t>
            </w:r>
          </w:p>
        </w:tc>
        <w:tc>
          <w:tcPr>
            <w:tcW w:w="610" w:type="pct"/>
            <w:gridSpan w:val="2"/>
            <w:noWrap w:val="0"/>
            <w:vAlign w:val="center"/>
          </w:tcPr>
          <w:p>
            <w:pPr>
              <w:adjustRightInd w:val="0"/>
              <w:snapToGrid w:val="0"/>
              <w:spacing w:line="232"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32" w:lineRule="exact"/>
              <w:jc w:val="right"/>
              <w:rPr>
                <w:rFonts w:ascii="仿宋_GB2312" w:hAnsi="宋体" w:eastAsia="仿宋_GB2312" w:cs="宋体"/>
                <w:sz w:val="16"/>
                <w:szCs w:val="18"/>
              </w:rPr>
            </w:pPr>
            <w:r>
              <w:rPr>
                <w:rFonts w:hint="eastAsia" w:ascii="仿宋_GB2312" w:hAnsi="宋体" w:eastAsia="仿宋_GB2312"/>
                <w:sz w:val="16"/>
                <w:szCs w:val="18"/>
              </w:rPr>
              <w:t xml:space="preserve">200400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2"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2016年12月，深圳市人民政府下发通知，要求巩固完善校舍安全保障长效机制，规定公办中小学校舍安全保障补助标准按小学每生每年80元，用于加强校舍安全巡查、排查、鉴定和日常监测。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2"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32"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《深圳市人民政府办公厅关于印发深圳市中小学校舍安全隐患整治长效机制实施方案的通知》（深府办〔2015〕37号）、《深圳市人民政府关于进一步完善义务教育经费保障机制的通知》（深府〔2016〕91号）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32"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32" w:lineRule="exact"/>
              <w:rPr>
                <w:rFonts w:ascii="仿宋_GB2312" w:hAnsi="宋体" w:eastAsia="仿宋_GB2312" w:cs="宋体"/>
                <w:sz w:val="16"/>
                <w:szCs w:val="18"/>
              </w:rPr>
            </w:pPr>
            <w:r>
              <w:rPr>
                <w:rFonts w:hint="eastAsia" w:ascii="仿宋_GB2312" w:hAnsi="宋体" w:eastAsia="仿宋_GB2312"/>
                <w:sz w:val="16"/>
                <w:szCs w:val="18"/>
              </w:rPr>
              <w:t>该项目为我校按照相关规定、上级部门要求设立，旨在加强我校校舍安全巡查水平、巩固完善校舍安全保障长效机制，进一步推动义务教育优质发展，提高教育质量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制度：《育才一小预算经费管理制度》、《育才一小经费支出和报账的有关规定》、《育才一小各项安全管理制度》等</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措施：该项目由学校总务处和安全办负责督办，专款专用，严格用于校舍安全巡查、排查、监测，项目执行和监管有保障。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6月、12月组织开展2次定期巡查；日常采取不定期检查方式，对本校校舍进行安全隐患排查与监测。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按实际进度支付。计划第一季度达25%；第二季度达到50%；第三季度达到75%；第四季度支出达到100%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加强校舍安全巡查应急，提升校舍安全水平，全面排除校舍安全隐患，建立校舍安全保障长效机制。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通过资金支出，定期对本校校舍进行安全巡查、排查、鉴定和日常监测，排除校舍安全隐患，全面提高校舍安全水平。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按教育局补助标准（金额见区教育局下发《2021年部门预算“二上”编报指引》），小学80元/生，我校共2505名小学生，80*2505=200400元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项目实施有序性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不定期巡查次数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校舍巡查覆盖范围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应急事件处置及时性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师生安全保障度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8"/>
        <w:gridCol w:w="339"/>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特色教育经费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4"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18"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250000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250000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通过开展多种多样的英语节，音乐节，科技节，体育节特色教育活动，锻炼学生的身体丰富学生的业余生活,凝聚师生的热情和团结的力量,体现我校的师生风采。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《中共深圳市委深圳市人民政府关于推进教育改革发展率先实现教育现代化的决定》、《深圳市中小学素质教育特色学校创建实施方案》（深教[2010]426号）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科教兴市和人才强市战略的要求，优先发展教育，坚持育人为本，以解放思想为先导，以改革创新为动力，以促进公平为重点，以提高质量为核心，强力推进教育国际化、多元化、均衡化、优质化、全民化、信息化发展，加快建设国家教育综合改革示范区，率先实现教育现代化，不断提高教育强市建设水平，努力开创深圳经济特区教育改革发展新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制度：《中共深圳市委深圳市人民政府关于推进教育改革发展率先实现教育现代化的决定》、《深圳市中小学素质教育特色学校创建实施方案》（深教[2010]426号）；</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措施：结合学校实际情况，开展适合本校特色的教育活动，制定活动计划和方案，成立专门特色教育活动小组对活动进行落实和记录。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通过开展中小学素质教育特色学校创建和评定，开展英语节，音乐节，科技节，体育节等特色教育活，创建富有特色的教学课程体系。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根据实际学生活动开展实际情况进行支出，计划第一季度达25%；第二季度达到50%；第三季度达到75%；第四季度支出达到100%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培养教师根据教材内容作出教学设计，对教材增删部分进行明确，确定教学内容。在教学过程中辅助学生吸收知识，培养和提升学习能力的同时，学生依据教材知识进行小组讨论、交流，拉近学生和各科知识之间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通过资金支出，开展多种多样的特色教育活动，有效提升学生综合素质，深化学校特色教育改革。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足球场地租用费7万，学生特色活动经费6万，体育活动开展6万，特色活动建设6万。合计25万。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师生参加数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项目完成及时性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文化建设水平</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1258"/>
        <w:gridCol w:w="470"/>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班主任专项经费</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cs="MS Mincho"/>
                <w:sz w:val="16"/>
                <w:szCs w:val="20"/>
              </w:rPr>
              <w:t>☐</w:t>
            </w:r>
            <w:r>
              <w:rPr>
                <w:rFonts w:hint="eastAsia" w:ascii="仿宋_GB2312" w:hAnsi="宋体" w:eastAsia="仿宋_GB2312" w:cs="宋体"/>
                <w:sz w:val="16"/>
                <w:szCs w:val="20"/>
              </w:rPr>
              <w:t>机构运行保障类项目</w:t>
            </w:r>
          </w:p>
        </w:tc>
        <w:tc>
          <w:tcPr>
            <w:tcW w:w="109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157500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157500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1.项目背景：本项目经费用于支持班主任专业发展和市名班主任工作室经费；                                                                    2.项目内容：本项目经费用于支持班主任专业发展，开展各级各类班主任活动及研究，支持班主任队伍建设，保障名班主任工作室建设等。              3.项目范围：学校班主任；</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4.组织框架：学校负责项目经费的测算与申报工作，教育局汇总资金使用情况，按规定履行经费使用审批程序。财政部门、会计中心负责对资金使用的监督。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根据《教育系统2021年部门预算指引》申报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班主任是学校的中坚力量，工作繁重、琐碎，按照规定向班主任发放及活动经费，提高其工作积极性，从而更好地为学生服务。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按区教育局组织的班主任培训时间进行实施。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第一季度25%；第二季度25%；第三季度25%；第四季度25%。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为班主任在校提升专业能力提供支持，全面提升我校班主任的专业素质和水平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通过本项目的开展，完成相关工作，以实现提升我校班主任专业素质水平建设的目标，保障本单位教育管理工作正常开展。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领衔班主任经费1万元；培训专项经费14.75万元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领衔班主任经费1万元；培训专项经费14.75万元,56个班主任+1个心理教师费用。2500*59人＝147500元。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培训次数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培训合格率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培训及时性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提高班主任工作积极性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rPr>
          <w:rFonts w:hint="eastAsia"/>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258"/>
        <w:gridCol w:w="470"/>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班主任及心理教师工作经费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108000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108000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根据上级部门相关规定向班主任发放津贴，按照《市政府六届一百八十三次常务会议纪要》，自2019年1月起公办中小学班主任待遇标准提高到1500元/人/月。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《市政府六届一百八十三次常务会议纪要》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班主任是学校的中坚力量，工作繁重、琐碎，按照规定向班主任发放津贴提高其工作积极性，从而更好地为学生服务。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由财务处按照学校财务管理制度按月向班主任发放。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按月向班主任发放津贴，每人每月1500元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按照规定向班主任发放津贴，保证班主任工作积极性。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按月足额向班主任发放津贴。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"（1）2021年班主任津贴：1500元/人/月*6人*12月=108000元，测算：根据《市政府六届一百八十三次常务会议纪要》，小学班主任津贴标准每人每月1500元,我校购买服务班主任5名+1名心理教师。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补贴发放人数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补贴发放准确率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津贴发放及时性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按月发放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提高班主任工作积极性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班主任满意度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rPr>
          <w:rFonts w:hint="eastAsia"/>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389"/>
        <w:gridCol w:w="337"/>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社会实践活动专项经费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余宏建</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35" w:type="pct"/>
            <w:gridSpan w:val="2"/>
            <w:noWrap w:val="0"/>
            <w:vAlign w:val="center"/>
          </w:tcPr>
          <w:p>
            <w:pPr>
              <w:adjustRightInd w:val="0"/>
              <w:snapToGrid w:val="0"/>
              <w:spacing w:line="22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17"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20" w:lineRule="exact"/>
              <w:jc w:val="right"/>
              <w:rPr>
                <w:rFonts w:ascii="仿宋_GB2312" w:hAnsi="宋体" w:eastAsia="仿宋_GB2312" w:cs="宋体"/>
                <w:sz w:val="16"/>
                <w:szCs w:val="18"/>
              </w:rPr>
            </w:pPr>
            <w:r>
              <w:rPr>
                <w:rFonts w:hint="eastAsia" w:ascii="仿宋_GB2312" w:hAnsi="宋体" w:eastAsia="仿宋_GB2312"/>
                <w:sz w:val="16"/>
                <w:szCs w:val="18"/>
              </w:rPr>
              <w:t xml:space="preserve">239400 </w:t>
            </w:r>
          </w:p>
        </w:tc>
        <w:tc>
          <w:tcPr>
            <w:tcW w:w="610" w:type="pct"/>
            <w:gridSpan w:val="2"/>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20" w:lineRule="exact"/>
              <w:jc w:val="right"/>
              <w:rPr>
                <w:rFonts w:ascii="仿宋_GB2312" w:hAnsi="宋体" w:eastAsia="仿宋_GB2312" w:cs="宋体"/>
                <w:sz w:val="16"/>
                <w:szCs w:val="18"/>
              </w:rPr>
            </w:pPr>
            <w:r>
              <w:rPr>
                <w:rFonts w:hint="eastAsia" w:ascii="仿宋_GB2312" w:hAnsi="宋体" w:eastAsia="仿宋_GB2312"/>
                <w:sz w:val="16"/>
                <w:szCs w:val="18"/>
              </w:rPr>
              <w:t xml:space="preserve">239400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开展社会实践活动，对学生加深对社会的认识、提高综合实践能力有重大意义。本项目为五年级学生开展社会实践活动提供经费，旨在鼓励学生积极参与社会实践，加深学生对社会的了解,培养学生的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深南（2019）16号文、《关于拨付南山区2019年中小学实践基地配套经费的通知》、2021年部门预算“二上”编报指引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社会实践活动在中小学生成长发展的过程中扮演着不可或缺的角色，有着十分重要的意义。根据深南（2019）16号文、《关于拨付南山区2019年中小学实践基地配套经费的通知》，我校制定社会实践活动费用标准，为五年级学生开展社会实践活动提供经费，鼓励学生积极参与社会实践，加深学生对社会的了解,培养学生的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20" w:lineRule="exact"/>
              <w:rPr>
                <w:rFonts w:hint="eastAsia" w:ascii="仿宋_GB2312" w:hAnsi="宋体" w:eastAsia="仿宋_GB2312"/>
                <w:sz w:val="16"/>
                <w:szCs w:val="18"/>
              </w:rPr>
            </w:pPr>
            <w:r>
              <w:rPr>
                <w:rFonts w:hint="eastAsia" w:ascii="仿宋_GB2312" w:hAnsi="宋体" w:eastAsia="仿宋_GB2312"/>
                <w:sz w:val="16"/>
                <w:szCs w:val="18"/>
              </w:rPr>
              <w:t>制度：《育才一小预算经费管理制度》、《育才一小经费支出和报账的有关规定》、《育才一小社会实践活动教师职责标准》</w:t>
            </w:r>
          </w:p>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 xml:space="preserve">   措施：严格按照上级要求和我校财务管理制度管理经费，专款专用；德育处负责活动组织实施，相关教师按照《职责标准》进行活动管理，确保活动安全有序开展。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按照惯例，德育处将于春季（3-5月）组织学生参加社会实践活动。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按照合同、项目进度支付，预计2021年上半年完成支出。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鼓励学生参加社会实践活动，培养学生的社会责任感，提高学生的社会实践能力。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为五年级学生提供经费，鼓励其完成社会实践活动要求，提高其社会实践能力、加深其对社会的认识。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社会活动经费为现在四年缴人数399*600＝239400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2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资金到位及时性</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合同管理合规性</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社会实践活动参与人数</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活动评价结果合格率</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活动开展时间</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学生社会实践能力提高</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能力得到提升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2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258"/>
        <w:gridCol w:w="470"/>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老干部活动经费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9"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120000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根据我市离退休教师活动经费相关规定，为我校退休干部送春节关怀，用于春节慰问费用，每人每年2500元。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深老干会纪（2017）1号文、2021年部门预算“二上”编报指引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按照规定向我校退休干部拨付春节慰问金，体现学校对于退休人员的节日关怀，丰富其退休生活。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制度：《育才一小学预算经费管理制度》、《育才一小学经费支出和报账的有关规定》</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措施：严格按照上级要求和我校财务管理制度收款、拨款，专款专用。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根据局经费拨付安排，及时向48名退休人员支付春节慰问金。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按上级要求及时拨付，2021年春节前完成。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向48名退休干部拨付2021年春节慰问金，送关怀慰问，提高其退休生活质量。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向48名退休干部拨付2021年春节慰问金，送出学校的关怀慰问，提高其退休生活质量。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按规定向退休干部发放春节慰问金。</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测算：每人每年2500元，48人，共计120000元。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制度执行有效性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获得经费的退休干部数量</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48人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经费发放准确率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经费发放及时性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退休干部幸福感</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退休干部满意度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5"/>
        <w:gridCol w:w="1344"/>
        <w:gridCol w:w="1439"/>
        <w:gridCol w:w="288"/>
        <w:gridCol w:w="573"/>
        <w:gridCol w:w="789"/>
        <w:gridCol w:w="781"/>
        <w:gridCol w:w="239"/>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79"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1"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购买教育服务经费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王欣磊</w:t>
            </w:r>
          </w:p>
        </w:tc>
        <w:tc>
          <w:tcPr>
            <w:tcW w:w="34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938"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56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79"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938"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07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0"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0"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4"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664"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98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0"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09"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0"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3517408 </w:t>
            </w:r>
          </w:p>
        </w:tc>
        <w:tc>
          <w:tcPr>
            <w:tcW w:w="609" w:type="pct"/>
            <w:gridSpan w:val="2"/>
            <w:noWrap w:val="0"/>
            <w:vAlign w:val="bottom"/>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3517408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根据《教育系统2021部门预算指引》编制，购买教育服务经费，有办公室负责推进项目的开展，财务室负责审核项目资金使用情况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教学需要，根据《教育系统2021部门预算指引》编制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2016年，我市正式出台了《深圳市公办中小学购买教育服务实施办法》，要求自2016年开始，全面实施中小学购买教育服务工作。到2018年，在全市建立完善的中小学购买教育服务工作机制，促进教育服务水平和质量不断提高。本项目为我校根据市政府、教育局要求设立的预算项目，为我校购买必要的教育服务提供经费，保障学校教育相关工作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5"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制度：《深圳市公办中小学购买教育服务实施办法》、《育才一小预算经费管理制度》、《育才一小经费支出和报账的有关规定》、《育才一小采购招标管理制度》等</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措施：我校严格按照相关规定指定责任部门负责督办，制定购买计划经批报后实施；实施过程中签订合同，并按照合同规定履行，加强对服务提供全过程的跟踪监管和对服务成果的检查验收。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根据我校教育教学实际需要，按照规定向合格的社会化主体购买所需教育服务。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根据项目进度按照合同要求支出款项。计划第一季度达25%；第二季度达到50%；第三季度达到75%；第四季度支出达到100%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建立完善的中小学购买教育服务工作机制，构建多渠道、多形式的教育服务体系，提高我校教育服务水平和质量。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通过资金支出，向合格的社会化主体购买所需的教育服务，保障学校教育相关工作正常开展，满足学校教育教学需求，有效提升办学水平。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5"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（132-130）*12月*标准124942+2505*标准1360-200000（自聘人员经费）=3517408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3"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7"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资金使用合规性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项目实施合规性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提供教育服务人员数量</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教育服务考评合格率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购买教育服务及时性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提高学校教育教学水平</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学生满意度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7"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pStyle w:val="7"/>
        <w:spacing w:after="156"/>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44"/>
        <w:gridCol w:w="1344"/>
        <w:gridCol w:w="1258"/>
        <w:gridCol w:w="470"/>
        <w:gridCol w:w="573"/>
        <w:gridCol w:w="789"/>
        <w:gridCol w:w="651"/>
        <w:gridCol w:w="370"/>
        <w:gridCol w:w="7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单位名称*</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南山区育才一小</w:t>
            </w:r>
          </w:p>
        </w:tc>
        <w:tc>
          <w:tcPr>
            <w:tcW w:w="472"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项目名称*</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预算备用金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项目负责人</w:t>
            </w:r>
          </w:p>
        </w:tc>
        <w:tc>
          <w:tcPr>
            <w:tcW w:w="1837"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余宏建</w:t>
            </w:r>
          </w:p>
        </w:tc>
        <w:tc>
          <w:tcPr>
            <w:tcW w:w="343"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填报人</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余建宏</w:t>
            </w:r>
          </w:p>
        </w:tc>
        <w:tc>
          <w:tcPr>
            <w:tcW w:w="647"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联系电话</w:t>
            </w:r>
          </w:p>
        </w:tc>
        <w:tc>
          <w:tcPr>
            <w:tcW w:w="508"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26815730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项目类别</w:t>
            </w:r>
          </w:p>
        </w:tc>
        <w:tc>
          <w:tcPr>
            <w:tcW w:w="2180"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√一般公共预算项目</w:t>
            </w:r>
          </w:p>
        </w:tc>
        <w:tc>
          <w:tcPr>
            <w:tcW w:w="861"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政府性基金项目</w:t>
            </w:r>
          </w:p>
        </w:tc>
        <w:tc>
          <w:tcPr>
            <w:tcW w:w="115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国有资本经营预算项目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是否含有新增</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项目或政策</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是</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存续期限*</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√经常性项目</w:t>
            </w:r>
          </w:p>
        </w:tc>
        <w:tc>
          <w:tcPr>
            <w:tcW w:w="1545" w:type="pct"/>
            <w:gridSpan w:val="4"/>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支出方向*</w:t>
            </w:r>
          </w:p>
        </w:tc>
        <w:tc>
          <w:tcPr>
            <w:tcW w:w="1556" w:type="pct"/>
            <w:gridSpan w:val="2"/>
            <w:noWrap w:val="0"/>
            <w:vAlign w:val="center"/>
          </w:tcPr>
          <w:p>
            <w:pPr>
              <w:adjustRightInd w:val="0"/>
              <w:snapToGrid w:val="0"/>
              <w:spacing w:line="240" w:lineRule="exact"/>
              <w:rPr>
                <w:rFonts w:ascii="仿宋_GB2312" w:hAnsi="宋体" w:eastAsia="仿宋_GB2312" w:cs="宋体"/>
                <w:sz w:val="16"/>
                <w:szCs w:val="20"/>
              </w:rPr>
            </w:pPr>
            <w:r>
              <w:rPr>
                <w:rFonts w:hint="eastAsia" w:ascii="仿宋_GB2312" w:hAnsi="宋体" w:eastAsia="仿宋_GB2312"/>
                <w:sz w:val="16"/>
                <w:szCs w:val="20"/>
              </w:rPr>
              <w:t>√机构运行保障类项目</w:t>
            </w:r>
          </w:p>
        </w:tc>
        <w:tc>
          <w:tcPr>
            <w:tcW w:w="1095"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重点民生事业类项目</w:t>
            </w:r>
          </w:p>
        </w:tc>
        <w:tc>
          <w:tcPr>
            <w:tcW w:w="1036" w:type="pct"/>
            <w:gridSpan w:val="3"/>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cs="MS Mincho"/>
                <w:sz w:val="16"/>
                <w:szCs w:val="18"/>
              </w:rPr>
              <w:t>☐</w:t>
            </w:r>
            <w:r>
              <w:rPr>
                <w:rFonts w:hint="eastAsia" w:ascii="仿宋_GB2312" w:hAnsi="宋体" w:eastAsia="仿宋_GB2312" w:cs="宋体"/>
                <w:sz w:val="16"/>
                <w:szCs w:val="18"/>
              </w:rPr>
              <w:t>一般事业发展性项目</w:t>
            </w:r>
          </w:p>
        </w:tc>
        <w:tc>
          <w:tcPr>
            <w:tcW w:w="508"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开始时间*</w:t>
            </w:r>
          </w:p>
        </w:tc>
        <w:tc>
          <w:tcPr>
            <w:tcW w:w="2652" w:type="pct"/>
            <w:gridSpan w:val="5"/>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20210101</w:t>
            </w:r>
          </w:p>
        </w:tc>
        <w:tc>
          <w:tcPr>
            <w:tcW w:w="610" w:type="pct"/>
            <w:gridSpan w:val="2"/>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结束时间*</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项目预算总金额（元）</w:t>
            </w:r>
          </w:p>
        </w:tc>
        <w:tc>
          <w:tcPr>
            <w:tcW w:w="2652" w:type="pct"/>
            <w:gridSpan w:val="5"/>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257070 </w:t>
            </w:r>
          </w:p>
        </w:tc>
        <w:tc>
          <w:tcPr>
            <w:tcW w:w="610" w:type="pct"/>
            <w:gridSpan w:val="2"/>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本年度项目预算金额（元）</w:t>
            </w:r>
          </w:p>
        </w:tc>
        <w:tc>
          <w:tcPr>
            <w:tcW w:w="934" w:type="pct"/>
            <w:gridSpan w:val="2"/>
            <w:noWrap w:val="0"/>
            <w:vAlign w:val="center"/>
          </w:tcPr>
          <w:p>
            <w:pPr>
              <w:adjustRightInd w:val="0"/>
              <w:snapToGrid w:val="0"/>
              <w:spacing w:line="240" w:lineRule="exact"/>
              <w:jc w:val="right"/>
              <w:rPr>
                <w:rFonts w:ascii="仿宋_GB2312" w:hAnsi="宋体" w:eastAsia="仿宋_GB2312" w:cs="宋体"/>
                <w:sz w:val="16"/>
                <w:szCs w:val="18"/>
              </w:rPr>
            </w:pPr>
            <w:r>
              <w:rPr>
                <w:rFonts w:hint="eastAsia" w:ascii="仿宋_GB2312" w:hAnsi="宋体" w:eastAsia="仿宋_GB2312"/>
                <w:sz w:val="16"/>
                <w:szCs w:val="18"/>
              </w:rPr>
              <w:t xml:space="preserve">257070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项目概况</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照财政部门要求，预算编制进一步细化，各预算单位预留预算准备金经财政部门审核后安排，用于优化调整经费支出结构、临时突发及政策性增资等因素。根据教育局要求，2021年预算备用金按教育费附加项目经费的5-10%提取。我校按照教育费附加项目经费的5%提取预算备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hint="eastAsia" w:ascii="仿宋_GB2312" w:hAnsi="宋体" w:eastAsia="仿宋_GB2312"/>
                <w:sz w:val="16"/>
                <w:szCs w:val="18"/>
              </w:rPr>
            </w:pPr>
            <w:r>
              <w:rPr>
                <w:rFonts w:hint="eastAsia" w:ascii="仿宋_GB2312" w:hAnsi="宋体" w:eastAsia="仿宋_GB2312"/>
                <w:sz w:val="16"/>
                <w:szCs w:val="18"/>
              </w:rPr>
              <w:t>项目申报</w:t>
            </w:r>
          </w:p>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区财政局2021年部门预算编制工作指南、区教育局2021年部门预算“二上”编报指引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项目设立的必要性</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在细编实编、强化预算约束刚性的预算编制要求下，有必要提取合理的预算备用金以应对预算执行过程中的临时性突发资金需求。按照上级财政部门、教育局要求，我校按照教育费附加项目经费的5%提取预算备用金用于优化调整经费支出结构、临时突发及政策性增资等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保证项目实施的制度、措施</w:t>
            </w:r>
          </w:p>
        </w:tc>
        <w:tc>
          <w:tcPr>
            <w:tcW w:w="4196" w:type="pct"/>
            <w:gridSpan w:val="9"/>
            <w:noWrap w:val="0"/>
            <w:vAlign w:val="center"/>
          </w:tcPr>
          <w:p>
            <w:pPr>
              <w:adjustRightInd w:val="0"/>
              <w:snapToGrid w:val="0"/>
              <w:spacing w:line="240" w:lineRule="exact"/>
              <w:rPr>
                <w:rFonts w:hint="eastAsia" w:ascii="仿宋_GB2312" w:hAnsi="宋体" w:eastAsia="仿宋_GB2312"/>
                <w:sz w:val="16"/>
                <w:szCs w:val="18"/>
              </w:rPr>
            </w:pPr>
            <w:r>
              <w:rPr>
                <w:rFonts w:hint="eastAsia" w:ascii="仿宋_GB2312" w:hAnsi="宋体" w:eastAsia="仿宋_GB2312"/>
                <w:sz w:val="16"/>
                <w:szCs w:val="18"/>
              </w:rPr>
              <w:t>制度：《育才一小预算经费管理制度》、《育才一小经费支出和报账的有关规定》、《育才一小校园物资采购规程》</w:t>
            </w:r>
          </w:p>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 xml:space="preserve">   措施：严格按照上级要求和我校财务管理制度管理经费，专款专用。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项目实施计划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2021年上半支出50%，下半年支出100%。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资金支出计划</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按实际需要支出。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项目总目标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有效满足临时性突发资金需求，优化调整经费支出结构。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有效满足2021年临时性突发资金需求。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项目测算依据*</w:t>
            </w:r>
          </w:p>
        </w:tc>
        <w:tc>
          <w:tcPr>
            <w:tcW w:w="4196" w:type="pct"/>
            <w:gridSpan w:val="9"/>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根据局下发文件，2021年预算备用金按教育费附加项目经费5131150*5%=257070元。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年度绩效目标分解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000" w:type="pct"/>
            <w:gridSpan w:val="10"/>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备注：原定表格中一级二级指标必须严格按所发表格顺序全部填写，不能随意删除,如不涉及的相关指标在对应三级指标中填写'不适用'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一级指标</w:t>
            </w:r>
          </w:p>
        </w:tc>
        <w:tc>
          <w:tcPr>
            <w:tcW w:w="804" w:type="pct"/>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二级指标</w:t>
            </w:r>
          </w:p>
        </w:tc>
        <w:tc>
          <w:tcPr>
            <w:tcW w:w="2458" w:type="pct"/>
            <w:gridSpan w:val="6"/>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三级指标</w:t>
            </w:r>
          </w:p>
        </w:tc>
        <w:tc>
          <w:tcPr>
            <w:tcW w:w="934" w:type="pct"/>
            <w:gridSpan w:val="2"/>
            <w:noWrap/>
            <w:vAlign w:val="center"/>
          </w:tcPr>
          <w:p>
            <w:pPr>
              <w:adjustRightInd w:val="0"/>
              <w:snapToGrid w:val="0"/>
              <w:spacing w:line="240" w:lineRule="exact"/>
              <w:jc w:val="center"/>
              <w:rPr>
                <w:rFonts w:ascii="仿宋_GB2312" w:hAnsi="宋体" w:eastAsia="仿宋_GB2312" w:cs="宋体"/>
                <w:sz w:val="16"/>
                <w:szCs w:val="18"/>
              </w:rPr>
            </w:pPr>
            <w:r>
              <w:rPr>
                <w:rFonts w:hint="eastAsia" w:ascii="仿宋_GB2312" w:hAnsi="宋体" w:eastAsia="仿宋_GB2312"/>
                <w:sz w:val="16"/>
                <w:szCs w:val="18"/>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预算执行率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资金到位及时率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财务管理规范性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100%规范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制度健全性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投入和管理目标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资产管理</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数量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备用金使用次数</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大于等于1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质量</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临时性资金需求满足率</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产出目标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时效</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项目执行及时性</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社会效益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提高学校办学能力</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得到提高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生态效益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经济效益</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服务对象满意度</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临时资金需求部门满意度</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效益目标</w:t>
            </w:r>
          </w:p>
        </w:tc>
        <w:tc>
          <w:tcPr>
            <w:tcW w:w="804" w:type="pct"/>
            <w:noWrap/>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其他</w:t>
            </w:r>
          </w:p>
        </w:tc>
        <w:tc>
          <w:tcPr>
            <w:tcW w:w="2458" w:type="pct"/>
            <w:gridSpan w:val="6"/>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c>
          <w:tcPr>
            <w:tcW w:w="934" w:type="pct"/>
            <w:gridSpan w:val="2"/>
            <w:noWrap w:val="0"/>
            <w:vAlign w:val="center"/>
          </w:tcPr>
          <w:p>
            <w:pPr>
              <w:adjustRightInd w:val="0"/>
              <w:snapToGrid w:val="0"/>
              <w:spacing w:line="240" w:lineRule="exact"/>
              <w:rPr>
                <w:rFonts w:ascii="仿宋_GB2312" w:hAnsi="宋体" w:eastAsia="仿宋_GB2312" w:cs="宋体"/>
                <w:sz w:val="16"/>
                <w:szCs w:val="18"/>
              </w:rPr>
            </w:pPr>
            <w:r>
              <w:rPr>
                <w:rFonts w:hint="eastAsia" w:ascii="仿宋_GB2312" w:hAnsi="宋体" w:eastAsia="仿宋_GB2312"/>
                <w:sz w:val="16"/>
                <w:szCs w:val="18"/>
              </w:rPr>
              <w:t>不适用</w:t>
            </w:r>
          </w:p>
        </w:tc>
      </w:tr>
    </w:tbl>
    <w:p>
      <w:pPr>
        <w:rPr>
          <w:rFonts w:hint="eastAsia"/>
        </w:rPr>
      </w:pPr>
    </w:p>
    <w:p>
      <w:pPr>
        <w:pStyle w:val="2"/>
        <w:rPr>
          <w:rFonts w:hint="eastAsia"/>
        </w:rPr>
      </w:pPr>
    </w:p>
    <w:p>
      <w:pPr>
        <w:pStyle w:val="2"/>
        <w:rPr>
          <w:rFonts w:hint="eastAsia"/>
        </w:rPr>
      </w:pPr>
    </w:p>
    <w:p>
      <w:pPr>
        <w:pStyle w:val="5"/>
        <w:spacing w:after="312"/>
        <w:jc w:val="center"/>
        <w:rPr>
          <w:sz w:val="28"/>
        </w:rPr>
      </w:pPr>
      <w:r>
        <w:t>表十</w:t>
      </w:r>
      <w:r>
        <w:rPr>
          <w:rFonts w:hint="eastAsia"/>
          <w:lang w:eastAsia="zh-CN"/>
        </w:rPr>
        <w:t>八</w:t>
      </w:r>
      <w:r>
        <w:t>：</w:t>
      </w:r>
      <w:r>
        <w:rPr>
          <w:rFonts w:hint="eastAsia"/>
        </w:rPr>
        <w:t>国有资本经营预算支出情况</w:t>
      </w:r>
      <w:r>
        <w:t>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395"/>
        <w:gridCol w:w="733"/>
        <w:gridCol w:w="2985"/>
        <w:gridCol w:w="1081"/>
        <w:gridCol w:w="108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7892" w:type="dxa"/>
            <w:gridSpan w:val="5"/>
            <w:tcBorders>
              <w:top w:val="nil"/>
              <w:left w:val="nil"/>
              <w:bottom w:val="single" w:color="auto" w:sz="4" w:space="0"/>
              <w:right w:val="nil"/>
            </w:tcBorders>
            <w:noWrap w:val="0"/>
            <w:vAlign w:val="top"/>
          </w:tcPr>
          <w:p>
            <w:pPr>
              <w:spacing w:line="240" w:lineRule="exact"/>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rPr>
              <w:t>单位名称：南山区</w:t>
            </w:r>
            <w:r>
              <w:rPr>
                <w:rFonts w:hint="eastAsia" w:ascii="仿宋_GB2312" w:hAnsi="仿宋_GB2312" w:eastAsia="仿宋_GB2312" w:cs="仿宋_GB2312"/>
                <w:sz w:val="16"/>
                <w:szCs w:val="16"/>
                <w:lang w:eastAsia="zh-CN"/>
              </w:rPr>
              <w:t>育才一小</w:t>
            </w:r>
          </w:p>
        </w:tc>
        <w:tc>
          <w:tcPr>
            <w:tcW w:w="1179" w:type="dxa"/>
            <w:tcBorders>
              <w:top w:val="nil"/>
              <w:left w:val="nil"/>
              <w:bottom w:val="single" w:color="auto" w:sz="4" w:space="0"/>
              <w:right w:val="nil"/>
            </w:tcBorders>
            <w:noWrap w:val="0"/>
            <w:vAlign w:val="top"/>
          </w:tcPr>
          <w:p>
            <w:pPr>
              <w:spacing w:line="240" w:lineRule="exact"/>
              <w:jc w:val="right"/>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13" w:type="dxa"/>
            <w:tcBorders>
              <w:top w:val="single" w:color="auto" w:sz="4" w:space="0"/>
            </w:tcBorders>
            <w:noWrap w:val="0"/>
            <w:vAlign w:val="center"/>
          </w:tcPr>
          <w:p>
            <w:pPr>
              <w:spacing w:line="240" w:lineRule="exact"/>
              <w:jc w:val="center"/>
              <w:rPr>
                <w:rFonts w:hint="eastAsia" w:ascii="黑体" w:hAnsi="仿宋_GB2312" w:eastAsia="黑体" w:cs="仿宋_GB2312"/>
                <w:sz w:val="16"/>
                <w:szCs w:val="16"/>
              </w:rPr>
            </w:pPr>
            <w:r>
              <w:rPr>
                <w:rFonts w:hint="eastAsia" w:ascii="黑体" w:hAnsi="仿宋_GB2312" w:eastAsia="黑体" w:cs="仿宋_GB2312"/>
                <w:sz w:val="16"/>
                <w:szCs w:val="16"/>
              </w:rPr>
              <w:t>预算单位</w:t>
            </w:r>
          </w:p>
        </w:tc>
        <w:tc>
          <w:tcPr>
            <w:tcW w:w="795" w:type="dxa"/>
            <w:tcBorders>
              <w:top w:val="single" w:color="auto" w:sz="4" w:space="0"/>
            </w:tcBorders>
            <w:noWrap w:val="0"/>
            <w:vAlign w:val="center"/>
          </w:tcPr>
          <w:p>
            <w:pPr>
              <w:spacing w:line="240" w:lineRule="exact"/>
              <w:jc w:val="center"/>
              <w:rPr>
                <w:rFonts w:hint="eastAsia" w:ascii="黑体" w:hAnsi="仿宋_GB2312" w:eastAsia="黑体" w:cs="仿宋_GB2312"/>
                <w:sz w:val="16"/>
                <w:szCs w:val="16"/>
              </w:rPr>
            </w:pPr>
            <w:r>
              <w:rPr>
                <w:rFonts w:hint="eastAsia" w:ascii="黑体" w:hAnsi="仿宋_GB2312" w:eastAsia="黑体" w:cs="仿宋_GB2312"/>
                <w:sz w:val="16"/>
                <w:szCs w:val="16"/>
              </w:rPr>
              <w:t>科目编码</w:t>
            </w:r>
          </w:p>
        </w:tc>
        <w:tc>
          <w:tcPr>
            <w:tcW w:w="3238" w:type="dxa"/>
            <w:tcBorders>
              <w:top w:val="single" w:color="auto" w:sz="4" w:space="0"/>
            </w:tcBorders>
            <w:noWrap w:val="0"/>
            <w:vAlign w:val="center"/>
          </w:tcPr>
          <w:p>
            <w:pPr>
              <w:spacing w:line="240" w:lineRule="exact"/>
              <w:jc w:val="center"/>
              <w:rPr>
                <w:rFonts w:hint="eastAsia" w:ascii="黑体" w:hAnsi="仿宋_GB2312" w:eastAsia="黑体" w:cs="仿宋_GB2312"/>
                <w:sz w:val="16"/>
                <w:szCs w:val="16"/>
              </w:rPr>
            </w:pPr>
            <w:r>
              <w:rPr>
                <w:rFonts w:hint="eastAsia" w:ascii="黑体" w:hAnsi="仿宋_GB2312" w:eastAsia="黑体" w:cs="仿宋_GB2312"/>
                <w:sz w:val="16"/>
                <w:szCs w:val="16"/>
              </w:rPr>
              <w:t>科目名称</w:t>
            </w:r>
          </w:p>
        </w:tc>
        <w:tc>
          <w:tcPr>
            <w:tcW w:w="1173" w:type="dxa"/>
            <w:tcBorders>
              <w:top w:val="single" w:color="auto" w:sz="4" w:space="0"/>
            </w:tcBorders>
            <w:noWrap w:val="0"/>
            <w:vAlign w:val="center"/>
          </w:tcPr>
          <w:p>
            <w:pPr>
              <w:spacing w:line="240" w:lineRule="exact"/>
              <w:jc w:val="center"/>
              <w:rPr>
                <w:rFonts w:hint="eastAsia" w:ascii="黑体" w:hAnsi="仿宋_GB2312" w:eastAsia="黑体" w:cs="仿宋_GB2312"/>
                <w:sz w:val="16"/>
                <w:szCs w:val="16"/>
              </w:rPr>
            </w:pPr>
            <w:r>
              <w:rPr>
                <w:rFonts w:hint="eastAsia" w:ascii="黑体" w:hAnsi="仿宋_GB2312" w:eastAsia="黑体" w:cs="仿宋_GB2312"/>
                <w:sz w:val="16"/>
                <w:szCs w:val="16"/>
              </w:rPr>
              <w:t>支出总计</w:t>
            </w:r>
          </w:p>
        </w:tc>
        <w:tc>
          <w:tcPr>
            <w:tcW w:w="1173" w:type="dxa"/>
            <w:tcBorders>
              <w:top w:val="single" w:color="auto" w:sz="4" w:space="0"/>
            </w:tcBorders>
            <w:noWrap w:val="0"/>
            <w:vAlign w:val="center"/>
          </w:tcPr>
          <w:p>
            <w:pPr>
              <w:spacing w:line="240" w:lineRule="exact"/>
              <w:jc w:val="center"/>
              <w:rPr>
                <w:rFonts w:hint="eastAsia" w:ascii="黑体" w:hAnsi="仿宋_GB2312" w:eastAsia="黑体" w:cs="仿宋_GB2312"/>
                <w:sz w:val="16"/>
                <w:szCs w:val="16"/>
              </w:rPr>
            </w:pPr>
            <w:r>
              <w:rPr>
                <w:rFonts w:hint="eastAsia" w:ascii="黑体" w:hAnsi="仿宋_GB2312" w:eastAsia="黑体" w:cs="仿宋_GB2312"/>
                <w:sz w:val="16"/>
                <w:szCs w:val="16"/>
              </w:rPr>
              <w:t>基本支出</w:t>
            </w:r>
          </w:p>
        </w:tc>
        <w:tc>
          <w:tcPr>
            <w:tcW w:w="1179" w:type="dxa"/>
            <w:tcBorders>
              <w:top w:val="single" w:color="auto" w:sz="4" w:space="0"/>
            </w:tcBorders>
            <w:noWrap w:val="0"/>
            <w:vAlign w:val="center"/>
          </w:tcPr>
          <w:p>
            <w:pPr>
              <w:spacing w:line="240" w:lineRule="exact"/>
              <w:jc w:val="center"/>
              <w:rPr>
                <w:rFonts w:hint="eastAsia" w:ascii="黑体" w:hAnsi="仿宋_GB2312" w:eastAsia="黑体" w:cs="仿宋_GB2312"/>
                <w:sz w:val="16"/>
                <w:szCs w:val="16"/>
              </w:rPr>
            </w:pPr>
            <w:r>
              <w:rPr>
                <w:rFonts w:hint="eastAsia" w:ascii="黑体" w:hAnsi="仿宋_GB2312" w:eastAsia="黑体" w:cs="仿宋_GB2312"/>
                <w:sz w:val="16"/>
                <w:szCs w:val="16"/>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1513" w:type="dxa"/>
            <w:noWrap w:val="0"/>
            <w:vAlign w:val="center"/>
          </w:tcPr>
          <w:p>
            <w:pPr>
              <w:spacing w:line="240" w:lineRule="exact"/>
              <w:jc w:val="left"/>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南山区</w:t>
            </w:r>
            <w:r>
              <w:rPr>
                <w:rFonts w:hint="eastAsia" w:ascii="仿宋_GB2312" w:hAnsi="仿宋_GB2312" w:eastAsia="仿宋_GB2312" w:cs="仿宋_GB2312"/>
                <w:sz w:val="16"/>
                <w:szCs w:val="16"/>
                <w:lang w:eastAsia="zh-CN"/>
              </w:rPr>
              <w:t>育才一小</w:t>
            </w:r>
          </w:p>
        </w:tc>
        <w:tc>
          <w:tcPr>
            <w:tcW w:w="795" w:type="dxa"/>
            <w:noWrap w:val="0"/>
            <w:vAlign w:val="center"/>
          </w:tcPr>
          <w:p>
            <w:pPr>
              <w:spacing w:line="240" w:lineRule="exact"/>
              <w:jc w:val="left"/>
              <w:rPr>
                <w:rFonts w:hint="eastAsia" w:ascii="仿宋_GB2312" w:hAnsi="仿宋_GB2312" w:eastAsia="仿宋_GB2312" w:cs="仿宋_GB2312"/>
                <w:sz w:val="16"/>
                <w:szCs w:val="16"/>
              </w:rPr>
            </w:pPr>
          </w:p>
        </w:tc>
        <w:tc>
          <w:tcPr>
            <w:tcW w:w="3238" w:type="dxa"/>
            <w:noWrap w:val="0"/>
            <w:vAlign w:val="center"/>
          </w:tcPr>
          <w:p>
            <w:pPr>
              <w:spacing w:line="240" w:lineRule="exact"/>
              <w:jc w:val="left"/>
              <w:rPr>
                <w:rFonts w:hint="eastAsia" w:ascii="仿宋_GB2312" w:hAnsi="仿宋_GB2312" w:eastAsia="仿宋_GB2312" w:cs="仿宋_GB2312"/>
                <w:sz w:val="16"/>
                <w:szCs w:val="16"/>
              </w:rPr>
            </w:pPr>
          </w:p>
        </w:tc>
        <w:tc>
          <w:tcPr>
            <w:tcW w:w="1173" w:type="dxa"/>
            <w:noWrap w:val="0"/>
            <w:vAlign w:val="center"/>
          </w:tcPr>
          <w:p>
            <w:pPr>
              <w:spacing w:line="240" w:lineRule="exact"/>
              <w:jc w:val="right"/>
              <w:rPr>
                <w:rFonts w:hint="eastAsia" w:ascii="仿宋_GB2312" w:hAnsi="仿宋_GB2312" w:eastAsia="仿宋_GB2312" w:cs="仿宋_GB2312"/>
                <w:sz w:val="16"/>
                <w:szCs w:val="16"/>
              </w:rPr>
            </w:pPr>
          </w:p>
        </w:tc>
        <w:tc>
          <w:tcPr>
            <w:tcW w:w="1173" w:type="dxa"/>
            <w:noWrap w:val="0"/>
            <w:vAlign w:val="center"/>
          </w:tcPr>
          <w:p>
            <w:pPr>
              <w:spacing w:line="240" w:lineRule="exact"/>
              <w:jc w:val="right"/>
              <w:rPr>
                <w:rFonts w:hint="eastAsia" w:ascii="仿宋_GB2312" w:hAnsi="仿宋_GB2312" w:eastAsia="仿宋_GB2312" w:cs="仿宋_GB2312"/>
                <w:sz w:val="16"/>
                <w:szCs w:val="16"/>
              </w:rPr>
            </w:pPr>
          </w:p>
        </w:tc>
        <w:tc>
          <w:tcPr>
            <w:tcW w:w="1179" w:type="dxa"/>
            <w:noWrap w:val="0"/>
            <w:vAlign w:val="center"/>
          </w:tcPr>
          <w:p>
            <w:pPr>
              <w:spacing w:line="240" w:lineRule="exact"/>
              <w:jc w:val="right"/>
              <w:rPr>
                <w:rFonts w:hint="eastAsia" w:ascii="仿宋_GB2312" w:hAnsi="仿宋_GB2312" w:eastAsia="仿宋_GB2312" w:cs="仿宋_GB2312"/>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8" w:hRule="atLeast"/>
          <w:jc w:val="center"/>
        </w:trPr>
        <w:tc>
          <w:tcPr>
            <w:tcW w:w="5546" w:type="dxa"/>
            <w:gridSpan w:val="3"/>
            <w:noWrap w:val="0"/>
            <w:vAlign w:val="center"/>
          </w:tcPr>
          <w:p>
            <w:pPr>
              <w:spacing w:line="240" w:lineRule="exact"/>
              <w:jc w:val="left"/>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合计</w:t>
            </w:r>
          </w:p>
        </w:tc>
        <w:tc>
          <w:tcPr>
            <w:tcW w:w="1173" w:type="dxa"/>
            <w:noWrap w:val="0"/>
            <w:vAlign w:val="center"/>
          </w:tcPr>
          <w:p>
            <w:pPr>
              <w:spacing w:line="240" w:lineRule="exact"/>
              <w:jc w:val="right"/>
              <w:rPr>
                <w:rFonts w:hint="default"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val="en-US" w:eastAsia="zh-CN"/>
              </w:rPr>
              <w:t>0.00</w:t>
            </w:r>
          </w:p>
        </w:tc>
        <w:tc>
          <w:tcPr>
            <w:tcW w:w="1173" w:type="dxa"/>
            <w:noWrap w:val="0"/>
            <w:vAlign w:val="center"/>
          </w:tcPr>
          <w:p>
            <w:pPr>
              <w:spacing w:line="240" w:lineRule="exact"/>
              <w:jc w:val="right"/>
              <w:rPr>
                <w:rFonts w:hint="eastAsia" w:ascii="仿宋_GB2312" w:hAnsi="仿宋_GB2312" w:eastAsia="仿宋_GB2312" w:cs="仿宋_GB2312"/>
                <w:sz w:val="16"/>
                <w:szCs w:val="16"/>
              </w:rPr>
            </w:pPr>
          </w:p>
        </w:tc>
        <w:tc>
          <w:tcPr>
            <w:tcW w:w="1179" w:type="dxa"/>
            <w:noWrap w:val="0"/>
            <w:vAlign w:val="center"/>
          </w:tcPr>
          <w:p>
            <w:pPr>
              <w:spacing w:line="240" w:lineRule="exact"/>
              <w:jc w:val="right"/>
              <w:rPr>
                <w:rFonts w:hint="eastAsia" w:ascii="仿宋_GB2312" w:hAnsi="仿宋_GB2312" w:eastAsia="仿宋_GB2312" w:cs="仿宋_GB2312"/>
                <w:sz w:val="16"/>
                <w:szCs w:val="16"/>
              </w:rPr>
            </w:pPr>
          </w:p>
        </w:tc>
      </w:tr>
    </w:tbl>
    <w:p>
      <w:pPr>
        <w:adjustRightInd w:val="0"/>
        <w:snapToGrid w:val="0"/>
        <w:spacing w:line="280" w:lineRule="exact"/>
        <w:jc w:val="left"/>
        <w:rPr>
          <w:rFonts w:hint="eastAsia" w:ascii="仿宋_GB2312" w:hAnsi="微软雅黑" w:eastAsia="仿宋_GB2312" w:cs="微软雅黑"/>
          <w:color w:val="000000"/>
          <w:sz w:val="18"/>
        </w:rPr>
      </w:pPr>
    </w:p>
    <w:p>
      <w:pPr>
        <w:adjustRightInd w:val="0"/>
        <w:snapToGrid w:val="0"/>
        <w:spacing w:line="280" w:lineRule="exact"/>
        <w:jc w:val="left"/>
        <w:rPr>
          <w:rFonts w:ascii="仿宋_GB2312" w:hAnsi="微软雅黑" w:eastAsia="仿宋_GB2312" w:cs="微软雅黑"/>
          <w:color w:val="000000"/>
          <w:sz w:val="18"/>
        </w:rPr>
      </w:pPr>
      <w:r>
        <w:rPr>
          <w:rFonts w:hint="eastAsia" w:ascii="仿宋_GB2312" w:hAnsi="微软雅黑" w:eastAsia="仿宋_GB2312" w:cs="微软雅黑"/>
          <w:color w:val="000000"/>
          <w:sz w:val="18"/>
        </w:rPr>
        <w:t>注：本部门202</w:t>
      </w:r>
      <w:r>
        <w:rPr>
          <w:rFonts w:hint="eastAsia" w:ascii="仿宋_GB2312" w:hAnsi="微软雅黑" w:eastAsia="仿宋_GB2312" w:cs="微软雅黑"/>
          <w:color w:val="000000"/>
          <w:sz w:val="18"/>
          <w:lang w:val="en-US" w:eastAsia="zh-CN"/>
        </w:rPr>
        <w:t>1</w:t>
      </w:r>
      <w:r>
        <w:rPr>
          <w:rFonts w:hint="eastAsia" w:ascii="仿宋_GB2312" w:hAnsi="微软雅黑" w:eastAsia="仿宋_GB2312" w:cs="微软雅黑"/>
          <w:color w:val="000000"/>
          <w:sz w:val="18"/>
        </w:rPr>
        <w:t>年部门预算无国有资本经营预算。</w:t>
      </w:r>
    </w:p>
    <w:p/>
    <w:p>
      <w:pPr>
        <w:pStyle w:val="2"/>
        <w:rPr>
          <w:rFonts w:hint="eastAsia"/>
        </w:rPr>
      </w:pPr>
    </w:p>
    <w:p>
      <w:pPr>
        <w:pStyle w:val="2"/>
        <w:rPr>
          <w:rFonts w:hint="eastAsia" w:ascii="仿宋_GB2312" w:hAnsi="仿宋_GB2312" w:eastAsia="仿宋_GB2312" w:cs="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9D8"/>
    <w:multiLevelType w:val="multilevel"/>
    <w:tmpl w:val="33C079D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D9"/>
    <w:rsid w:val="000F1081"/>
    <w:rsid w:val="00117D9D"/>
    <w:rsid w:val="00134A3F"/>
    <w:rsid w:val="00211F1A"/>
    <w:rsid w:val="002B7CF3"/>
    <w:rsid w:val="005073D9"/>
    <w:rsid w:val="00641D9D"/>
    <w:rsid w:val="0068203F"/>
    <w:rsid w:val="00881936"/>
    <w:rsid w:val="008B583F"/>
    <w:rsid w:val="00910181"/>
    <w:rsid w:val="009D2C19"/>
    <w:rsid w:val="00A45611"/>
    <w:rsid w:val="00BF78EE"/>
    <w:rsid w:val="00D67A24"/>
    <w:rsid w:val="00D93E5B"/>
    <w:rsid w:val="20E93C24"/>
    <w:rsid w:val="38C24DF1"/>
    <w:rsid w:val="49BE1737"/>
    <w:rsid w:val="5737584B"/>
    <w:rsid w:val="6B90653B"/>
    <w:rsid w:val="7BCF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2"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next w:val="1"/>
    <w:unhideWhenUsed/>
    <w:qFormat/>
    <w:uiPriority w:val="2"/>
    <w:pPr>
      <w:outlineLvl w:val="1"/>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spacing w:after="100" w:afterLines="100" w:line="590" w:lineRule="exact"/>
      <w:jc w:val="center"/>
      <w:outlineLvl w:val="2"/>
    </w:pPr>
    <w:rPr>
      <w:rFonts w:ascii="黑体" w:eastAsia="黑体"/>
      <w:bCs/>
      <w:sz w:val="32"/>
      <w:szCs w:val="32"/>
    </w:rPr>
  </w:style>
  <w:style w:type="paragraph" w:styleId="6">
    <w:name w:val="heading 4"/>
    <w:basedOn w:val="1"/>
    <w:next w:val="1"/>
    <w:qFormat/>
    <w:uiPriority w:val="0"/>
    <w:pPr>
      <w:keepNext/>
      <w:keepLines/>
      <w:spacing w:line="590" w:lineRule="exact"/>
      <w:jc w:val="center"/>
      <w:outlineLvl w:val="3"/>
    </w:pPr>
    <w:rPr>
      <w:rFonts w:ascii="黑体" w:hAnsi="Arial" w:eastAsia="黑体"/>
      <w:bCs/>
      <w:sz w:val="32"/>
      <w:szCs w:val="32"/>
    </w:rPr>
  </w:style>
  <w:style w:type="paragraph" w:styleId="7">
    <w:name w:val="heading 5"/>
    <w:basedOn w:val="1"/>
    <w:next w:val="1"/>
    <w:qFormat/>
    <w:uiPriority w:val="0"/>
    <w:pPr>
      <w:keepNext/>
      <w:keepLines/>
      <w:spacing w:after="50" w:afterLines="50" w:line="590" w:lineRule="exact"/>
      <w:jc w:val="center"/>
      <w:outlineLvl w:val="4"/>
    </w:pPr>
    <w:rPr>
      <w:rFonts w:ascii="仿宋_GB2312" w:eastAsia="仿宋_GB2312"/>
      <w:bCs/>
      <w:sz w:val="28"/>
      <w:szCs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pPr>
  </w:style>
  <w:style w:type="paragraph" w:styleId="8">
    <w:name w:val="annotation text"/>
    <w:basedOn w:val="1"/>
    <w:semiHidden/>
    <w:unhideWhenUsed/>
    <w:uiPriority w:val="99"/>
    <w:pPr>
      <w:jc w:val="left"/>
    </w:pPr>
  </w:style>
  <w:style w:type="paragraph" w:styleId="9">
    <w:name w:val="footer"/>
    <w:basedOn w:val="1"/>
    <w:link w:val="15"/>
    <w:unhideWhenUsed/>
    <w:uiPriority w:val="99"/>
    <w:pPr>
      <w:tabs>
        <w:tab w:val="center" w:pos="4153"/>
        <w:tab w:val="right" w:pos="8306"/>
      </w:tabs>
      <w:snapToGrid w:val="0"/>
      <w:jc w:val="left"/>
    </w:pPr>
    <w:rPr>
      <w:sz w:val="18"/>
      <w:szCs w:val="18"/>
    </w:rPr>
  </w:style>
  <w:style w:type="paragraph" w:styleId="10">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customStyle="1" w:styleId="14">
    <w:name w:val="页眉 Char"/>
    <w:basedOn w:val="12"/>
    <w:link w:val="10"/>
    <w:uiPriority w:val="99"/>
    <w:rPr>
      <w:sz w:val="18"/>
      <w:szCs w:val="18"/>
    </w:rPr>
  </w:style>
  <w:style w:type="character" w:customStyle="1" w:styleId="15">
    <w:name w:val="页脚 Char"/>
    <w:basedOn w:val="12"/>
    <w:link w:val="9"/>
    <w:uiPriority w:val="99"/>
    <w:rPr>
      <w:sz w:val="18"/>
      <w:szCs w:val="18"/>
    </w:rPr>
  </w:style>
  <w:style w:type="paragraph" w:customStyle="1" w:styleId="16">
    <w:name w:val="A-1"/>
    <w:basedOn w:val="1"/>
    <w:qFormat/>
    <w:uiPriority w:val="0"/>
    <w:pPr>
      <w:spacing w:after="50" w:afterLines="50" w:line="360" w:lineRule="auto"/>
      <w:ind w:firstLine="0" w:firstLineChars="0"/>
      <w:jc w:val="center"/>
    </w:pPr>
    <w:rPr>
      <w:rFonts w:ascii="创艺简标宋" w:hAnsi="宋体" w:eastAsia="创艺简标宋"/>
      <w:b/>
      <w:spacing w:val="-2"/>
      <w:sz w:val="36"/>
      <w:szCs w:val="36"/>
    </w:rPr>
  </w:style>
  <w:style w:type="paragraph" w:customStyle="1" w:styleId="17">
    <w:name w:val="表X"/>
    <w:basedOn w:val="1"/>
    <w:qFormat/>
    <w:uiPriority w:val="0"/>
    <w:pPr>
      <w:adjustRightInd w:val="0"/>
      <w:snapToGrid w:val="0"/>
      <w:jc w:val="center"/>
    </w:pPr>
    <w:rPr>
      <w:rFonts w:ascii="黑体" w:hAnsi="黑体" w:eastAsia="黑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436</Words>
  <Characters>2490</Characters>
  <Lines>20</Lines>
  <Paragraphs>5</Paragraphs>
  <TotalTime>42</TotalTime>
  <ScaleCrop>false</ScaleCrop>
  <LinksUpToDate>false</LinksUpToDate>
  <CharactersWithSpaces>2921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2021-02-26T14:45:00Z</dcterms:created>
  <dc:creator>Apache POI</dc:creator>
  <cp:lastModifiedBy>余得水</cp:lastModifiedBy>
  <dcterms:modified xsi:type="dcterms:W3CDTF">2021-03-02T02:40:35Z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