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48" w:leftChars="0"/>
        <w:jc w:val="center"/>
        <w:textAlignment w:val="auto"/>
        <w:outlineLvl w:val="1"/>
        <w:rPr>
          <w:rFonts w:hint="default" w:ascii="宋体" w:hAnsi="宋体" w:eastAsia="宋体" w:cs="宋体"/>
          <w:b/>
          <w:bCs/>
          <w:color w:val="auto"/>
          <w:sz w:val="24"/>
          <w:lang w:val="en-US" w:eastAsia="zh-CN"/>
        </w:rPr>
      </w:pPr>
      <w:r>
        <w:rPr>
          <w:rFonts w:hint="eastAsia" w:ascii="宋体" w:hAnsi="宋体" w:cs="宋体"/>
          <w:b/>
          <w:bCs/>
          <w:color w:val="auto"/>
          <w:sz w:val="24"/>
          <w:lang w:val="en-US" w:eastAsia="zh-CN"/>
        </w:rPr>
        <w:t>足球课程需求及评分</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0"/>
        <w:textAlignment w:val="auto"/>
        <w:outlineLvl w:val="1"/>
        <w:rPr>
          <w:rFonts w:hint="eastAsia" w:ascii="宋体" w:hAnsi="宋体" w:cs="宋体"/>
          <w:b/>
          <w:bCs/>
          <w:color w:val="auto"/>
          <w:sz w:val="24"/>
        </w:rPr>
      </w:pPr>
      <w:r>
        <w:rPr>
          <w:rFonts w:hint="eastAsia" w:ascii="宋体" w:hAnsi="宋体" w:cs="宋体"/>
          <w:b/>
          <w:bCs/>
          <w:color w:val="auto"/>
          <w:sz w:val="24"/>
        </w:rPr>
        <w:t>项目</w:t>
      </w:r>
      <w:r>
        <w:rPr>
          <w:rFonts w:hint="eastAsia" w:ascii="宋体" w:hAnsi="宋体" w:cs="宋体"/>
          <w:b/>
          <w:bCs/>
          <w:color w:val="auto"/>
          <w:sz w:val="24"/>
          <w:lang w:val="en-US" w:eastAsia="zh-CN"/>
        </w:rPr>
        <w:t>背景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rPr>
      </w:pPr>
      <w:r>
        <w:rPr>
          <w:rFonts w:hint="eastAsia" w:ascii="宋体" w:hAnsi="宋体" w:cs="宋体"/>
          <w:color w:val="auto"/>
          <w:sz w:val="24"/>
        </w:rPr>
        <w:t>国务院办公厅发布了《中国足球发展改革总体方案》。全国校园足球特色学校在现有5000多所基础上，2020年达到2万所，2025年达到5万所。并要发挥足球</w:t>
      </w:r>
      <w:r>
        <w:rPr>
          <w:rFonts w:hint="eastAsia" w:ascii="宋体" w:hAnsi="宋体" w:cs="宋体"/>
          <w:color w:val="auto"/>
          <w:sz w:val="24"/>
        </w:rPr>
        <w:fldChar w:fldCharType="begin"/>
      </w:r>
      <w:r>
        <w:rPr>
          <w:rFonts w:hint="eastAsia" w:ascii="宋体" w:hAnsi="宋体" w:cs="宋体"/>
          <w:color w:val="auto"/>
          <w:sz w:val="24"/>
        </w:rPr>
        <w:instrText xml:space="preserve"> HYPERLINK "https://baike.baidu.com/item/%E8%82%B2%E4%BA%BA" \t "https://baike.baidu.com/item/%E5%85%A8%E5%9B%BD%E6%A0%A1%E5%9B%AD%E8%B6%B3%E7%90%83%E7%89%B9%E8%89%B2%E5%AD%A6%E6%A0%A1/_blank" </w:instrText>
      </w:r>
      <w:r>
        <w:rPr>
          <w:rFonts w:hint="eastAsia" w:ascii="宋体" w:hAnsi="宋体" w:cs="宋体"/>
          <w:color w:val="auto"/>
          <w:sz w:val="24"/>
        </w:rPr>
        <w:fldChar w:fldCharType="separate"/>
      </w:r>
      <w:r>
        <w:rPr>
          <w:rFonts w:hint="eastAsia" w:ascii="宋体" w:hAnsi="宋体" w:cs="宋体"/>
          <w:color w:val="auto"/>
          <w:sz w:val="24"/>
        </w:rPr>
        <w:t>育人</w:t>
      </w:r>
      <w:r>
        <w:rPr>
          <w:rFonts w:hint="eastAsia" w:ascii="宋体" w:hAnsi="宋体" w:cs="宋体"/>
          <w:color w:val="auto"/>
          <w:sz w:val="24"/>
        </w:rPr>
        <w:fldChar w:fldCharType="end"/>
      </w:r>
      <w:r>
        <w:rPr>
          <w:rFonts w:hint="eastAsia" w:ascii="宋体" w:hAnsi="宋体" w:cs="宋体"/>
          <w:color w:val="auto"/>
          <w:sz w:val="24"/>
        </w:rPr>
        <w:t>功能。深化学校体育改革、培养全面发展人才，把</w:t>
      </w:r>
      <w:r>
        <w:rPr>
          <w:rFonts w:hint="eastAsia" w:ascii="宋体" w:hAnsi="宋体" w:cs="宋体"/>
          <w:color w:val="auto"/>
          <w:sz w:val="24"/>
        </w:rPr>
        <w:fldChar w:fldCharType="begin"/>
      </w:r>
      <w:r>
        <w:rPr>
          <w:rFonts w:hint="eastAsia" w:ascii="宋体" w:hAnsi="宋体" w:cs="宋体"/>
          <w:color w:val="auto"/>
          <w:sz w:val="24"/>
        </w:rPr>
        <w:instrText xml:space="preserve"> HYPERLINK "https://baike.baidu.com/item/%E6%A0%A1%E5%9B%AD%E8%B6%B3%E7%90%83/16257831" \t "https://baike.baidu.com/item/%E5%85%A8%E5%9B%BD%E6%A0%A1%E5%9B%AD%E8%B6%B3%E7%90%83%E7%89%B9%E8%89%B2%E5%AD%A6%E6%A0%A1/_blank" </w:instrText>
      </w:r>
      <w:r>
        <w:rPr>
          <w:rFonts w:hint="eastAsia" w:ascii="宋体" w:hAnsi="宋体" w:cs="宋体"/>
          <w:color w:val="auto"/>
          <w:sz w:val="24"/>
        </w:rPr>
        <w:fldChar w:fldCharType="separate"/>
      </w:r>
      <w:r>
        <w:rPr>
          <w:rFonts w:hint="eastAsia" w:ascii="宋体" w:hAnsi="宋体" w:cs="宋体"/>
          <w:color w:val="auto"/>
          <w:sz w:val="24"/>
        </w:rPr>
        <w:t>校园足球</w:t>
      </w:r>
      <w:r>
        <w:rPr>
          <w:rFonts w:hint="eastAsia" w:ascii="宋体" w:hAnsi="宋体" w:cs="宋体"/>
          <w:color w:val="auto"/>
          <w:sz w:val="24"/>
        </w:rPr>
        <w:fldChar w:fldCharType="end"/>
      </w:r>
      <w:r>
        <w:rPr>
          <w:rFonts w:hint="eastAsia" w:ascii="宋体" w:hAnsi="宋体" w:cs="宋体"/>
          <w:color w:val="auto"/>
          <w:sz w:val="24"/>
        </w:rPr>
        <w:t>作为扩大足球人口规模、夯实足球人才根基、提高学生综合素质、促进青少年健康成长的基础性工程，增强家长、社会的认同和支持，让更多</w:t>
      </w:r>
      <w:r>
        <w:rPr>
          <w:rFonts w:hint="eastAsia" w:ascii="宋体" w:hAnsi="宋体" w:cs="宋体"/>
          <w:color w:val="auto"/>
          <w:sz w:val="24"/>
        </w:rPr>
        <w:fldChar w:fldCharType="begin"/>
      </w:r>
      <w:r>
        <w:rPr>
          <w:rFonts w:hint="eastAsia" w:ascii="宋体" w:hAnsi="宋体" w:cs="宋体"/>
          <w:color w:val="auto"/>
          <w:sz w:val="24"/>
        </w:rPr>
        <w:instrText xml:space="preserve"> HYPERLINK "https://baike.baidu.com/item/%E9%9D%92%E5%B0%91%E5%B9%B4/66642" \t "https://baike.baidu.com/item/%E5%85%A8%E5%9B%BD%E6%A0%A1%E5%9B%AD%E8%B6%B3%E7%90%83%E7%89%B9%E8%89%B2%E5%AD%A6%E6%A0%A1/_blank" </w:instrText>
      </w:r>
      <w:r>
        <w:rPr>
          <w:rFonts w:hint="eastAsia" w:ascii="宋体" w:hAnsi="宋体" w:cs="宋体"/>
          <w:color w:val="auto"/>
          <w:sz w:val="24"/>
        </w:rPr>
        <w:fldChar w:fldCharType="separate"/>
      </w:r>
      <w:r>
        <w:rPr>
          <w:rFonts w:hint="eastAsia" w:ascii="宋体" w:hAnsi="宋体" w:cs="宋体"/>
          <w:color w:val="auto"/>
          <w:sz w:val="24"/>
        </w:rPr>
        <w:t>青少年</w:t>
      </w:r>
      <w:r>
        <w:rPr>
          <w:rFonts w:hint="eastAsia" w:ascii="宋体" w:hAnsi="宋体" w:cs="宋体"/>
          <w:color w:val="auto"/>
          <w:sz w:val="24"/>
        </w:rPr>
        <w:fldChar w:fldCharType="end"/>
      </w:r>
      <w:r>
        <w:rPr>
          <w:rFonts w:hint="eastAsia" w:ascii="宋体" w:hAnsi="宋体" w:cs="宋体"/>
          <w:color w:val="auto"/>
          <w:sz w:val="24"/>
        </w:rPr>
        <w:t>学生热爱足球、享受足球，使参与足球运动成为体验、适应社会规则和道德规范的有效途径。</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0"/>
        <w:textAlignment w:val="auto"/>
        <w:outlineLvl w:val="1"/>
        <w:rPr>
          <w:rFonts w:hint="eastAsia" w:ascii="宋体" w:hAnsi="宋体" w:cs="宋体"/>
          <w:b/>
          <w:bCs/>
          <w:color w:val="auto"/>
          <w:sz w:val="24"/>
        </w:rPr>
      </w:pPr>
      <w:bookmarkStart w:id="0" w:name="_Toc8939"/>
      <w:bookmarkStart w:id="1" w:name="_Toc27037"/>
      <w:bookmarkStart w:id="2" w:name="_Toc3648"/>
      <w:bookmarkStart w:id="3" w:name="_Toc9945"/>
      <w:r>
        <w:rPr>
          <w:rFonts w:hint="eastAsia" w:ascii="宋体" w:hAnsi="宋体" w:cs="宋体"/>
          <w:b/>
          <w:bCs/>
          <w:color w:val="auto"/>
          <w:sz w:val="24"/>
          <w:lang w:val="en-US" w:eastAsia="zh-CN"/>
        </w:rPr>
        <w:t>服务内容及要求</w:t>
      </w:r>
      <w:bookmarkEnd w:id="0"/>
      <w:bookmarkEnd w:id="1"/>
      <w:bookmarkEnd w:id="2"/>
      <w:bookmarkEnd w:id="3"/>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cs="宋体"/>
          <w:b/>
          <w:color w:val="auto"/>
          <w:sz w:val="24"/>
          <w:szCs w:val="21"/>
        </w:rPr>
      </w:pPr>
      <w:bookmarkStart w:id="4" w:name="_Toc18464"/>
      <w:bookmarkStart w:id="5" w:name="_Toc30744"/>
      <w:bookmarkStart w:id="6" w:name="_Toc12425"/>
      <w:r>
        <w:rPr>
          <w:rFonts w:hint="eastAsia" w:ascii="宋体" w:hAnsi="宋体" w:cs="宋体"/>
          <w:b/>
          <w:color w:val="auto"/>
          <w:sz w:val="24"/>
          <w:szCs w:val="21"/>
        </w:rPr>
        <w:t>项目管理要求</w:t>
      </w:r>
      <w:bookmarkEnd w:id="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b w:val="0"/>
          <w:bCs/>
          <w:color w:val="auto"/>
          <w:sz w:val="24"/>
          <w:szCs w:val="21"/>
          <w:highlight w:val="none"/>
          <w:lang w:val="en-US" w:eastAsia="zh-CN"/>
        </w:rPr>
      </w:pPr>
      <w:r>
        <w:rPr>
          <w:rFonts w:hint="eastAsia" w:ascii="宋体" w:hAnsi="宋体" w:cs="宋体"/>
          <w:b w:val="0"/>
          <w:bCs/>
          <w:color w:val="auto"/>
          <w:sz w:val="24"/>
          <w:szCs w:val="21"/>
          <w:highlight w:val="none"/>
          <w:lang w:val="en-US" w:eastAsia="zh-CN"/>
        </w:rPr>
        <w:t>满足学校低段足球普及课、中段足球梯队训练课及高段足球梯队训练课需求，加强学校足球课、足球队训练教学管理，提高足球课程质量。</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cs="宋体"/>
          <w:b/>
          <w:color w:val="auto"/>
          <w:sz w:val="24"/>
          <w:szCs w:val="21"/>
          <w:highlight w:val="none"/>
          <w:lang w:val="en-US" w:eastAsia="zh-CN"/>
        </w:rPr>
      </w:pPr>
      <w:r>
        <w:rPr>
          <w:rFonts w:hint="eastAsia" w:ascii="宋体" w:hAnsi="宋体" w:cs="宋体"/>
          <w:b/>
          <w:color w:val="auto"/>
          <w:sz w:val="24"/>
          <w:szCs w:val="21"/>
          <w:highlight w:val="none"/>
          <w:lang w:val="en-US" w:eastAsia="zh-CN"/>
        </w:rPr>
        <w:t>服务要求</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rPr>
      </w:pPr>
      <w:r>
        <w:rPr>
          <w:rFonts w:hint="eastAsia" w:ascii="宋体" w:hAnsi="宋体"/>
          <w:color w:val="auto"/>
          <w:sz w:val="24"/>
          <w:highlight w:val="none"/>
          <w:lang w:val="en-US" w:eastAsia="zh-CN"/>
        </w:rPr>
        <w:t>投标人需</w:t>
      </w:r>
      <w:r>
        <w:rPr>
          <w:rFonts w:hint="eastAsia" w:ascii="宋体" w:hAnsi="宋体"/>
          <w:color w:val="auto"/>
          <w:sz w:val="24"/>
          <w:highlight w:val="none"/>
        </w:rPr>
        <w:t>向学校派出的</w:t>
      </w:r>
      <w:r>
        <w:rPr>
          <w:rFonts w:hint="eastAsia" w:ascii="宋体" w:hAnsi="宋体"/>
          <w:color w:val="auto"/>
          <w:sz w:val="24"/>
          <w:highlight w:val="none"/>
          <w:lang w:eastAsia="zh-CN"/>
        </w:rPr>
        <w:t>专业的并</w:t>
      </w:r>
      <w:r>
        <w:rPr>
          <w:rFonts w:hint="eastAsia" w:ascii="宋体" w:hAnsi="宋体"/>
          <w:color w:val="auto"/>
          <w:sz w:val="24"/>
          <w:highlight w:val="none"/>
        </w:rPr>
        <w:t>具有较强足球教学训练能力，熟悉校园足球工作足球教练员</w:t>
      </w:r>
      <w:r>
        <w:rPr>
          <w:rFonts w:hint="eastAsia" w:ascii="宋体" w:hAnsi="宋体"/>
          <w:color w:val="auto"/>
          <w:sz w:val="24"/>
          <w:highlight w:val="none"/>
          <w:lang w:eastAsia="zh-CN"/>
        </w:rPr>
        <w:t>，固定驻校教练员不得少于</w:t>
      </w:r>
      <w:r>
        <w:rPr>
          <w:rFonts w:hint="eastAsia" w:ascii="宋体" w:hAnsi="宋体"/>
          <w:color w:val="auto"/>
          <w:sz w:val="24"/>
          <w:highlight w:val="none"/>
          <w:lang w:val="en-US" w:eastAsia="zh-CN"/>
        </w:rPr>
        <w:t>8名</w:t>
      </w:r>
      <w:bookmarkStart w:id="14" w:name="_GoBack"/>
      <w:bookmarkEnd w:id="14"/>
      <w:r>
        <w:rPr>
          <w:rFonts w:hint="eastAsia" w:ascii="宋体" w:hAnsi="宋体"/>
          <w:color w:val="auto"/>
          <w:sz w:val="24"/>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rPr>
      </w:pPr>
      <w:r>
        <w:rPr>
          <w:rFonts w:hint="eastAsia" w:ascii="宋体" w:hAnsi="宋体"/>
          <w:color w:val="auto"/>
          <w:sz w:val="24"/>
          <w:highlight w:val="none"/>
          <w:lang w:val="en-US" w:eastAsia="zh-CN"/>
        </w:rPr>
        <w:t>投标人</w:t>
      </w:r>
      <w:r>
        <w:rPr>
          <w:rFonts w:hint="eastAsia" w:ascii="宋体" w:hAnsi="宋体"/>
          <w:color w:val="auto"/>
          <w:sz w:val="24"/>
          <w:highlight w:val="none"/>
        </w:rPr>
        <w:t>有开展</w:t>
      </w:r>
      <w:r>
        <w:rPr>
          <w:rFonts w:hint="eastAsia" w:ascii="宋体" w:hAnsi="宋体"/>
          <w:color w:val="auto"/>
          <w:sz w:val="24"/>
          <w:highlight w:val="none"/>
          <w:lang w:val="en-US" w:eastAsia="zh-CN"/>
        </w:rPr>
        <w:t>校园</w:t>
      </w:r>
      <w:r>
        <w:rPr>
          <w:rFonts w:hint="eastAsia" w:ascii="宋体" w:hAnsi="宋体"/>
          <w:color w:val="auto"/>
          <w:sz w:val="24"/>
          <w:highlight w:val="none"/>
        </w:rPr>
        <w:t>足球</w:t>
      </w:r>
      <w:r>
        <w:rPr>
          <w:rFonts w:hint="eastAsia" w:ascii="宋体" w:hAnsi="宋体"/>
          <w:color w:val="auto"/>
          <w:sz w:val="24"/>
          <w:highlight w:val="none"/>
          <w:lang w:val="en-US" w:eastAsia="zh-CN"/>
        </w:rPr>
        <w:t>教学</w:t>
      </w:r>
      <w:r>
        <w:rPr>
          <w:rFonts w:hint="eastAsia" w:ascii="宋体" w:hAnsi="宋体"/>
          <w:color w:val="auto"/>
          <w:sz w:val="24"/>
          <w:highlight w:val="none"/>
        </w:rPr>
        <w:t>培训</w:t>
      </w:r>
      <w:r>
        <w:rPr>
          <w:rFonts w:hint="eastAsia" w:ascii="宋体" w:hAnsi="宋体"/>
          <w:color w:val="auto"/>
          <w:sz w:val="24"/>
          <w:highlight w:val="none"/>
          <w:lang w:val="en-US" w:eastAsia="zh-CN"/>
        </w:rPr>
        <w:t>方案</w:t>
      </w:r>
      <w:r>
        <w:rPr>
          <w:rFonts w:hint="eastAsia" w:ascii="宋体" w:hAnsi="宋体"/>
          <w:color w:val="auto"/>
          <w:sz w:val="24"/>
          <w:highlight w:val="none"/>
        </w:rPr>
        <w:t>及相关制度。</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rPr>
      </w:pPr>
      <w:r>
        <w:rPr>
          <w:rFonts w:hint="eastAsia" w:ascii="宋体" w:hAnsi="宋体"/>
          <w:color w:val="auto"/>
          <w:sz w:val="24"/>
          <w:highlight w:val="none"/>
          <w:lang w:val="en-US" w:eastAsia="zh-CN"/>
        </w:rPr>
        <w:t>投标人</w:t>
      </w:r>
      <w:r>
        <w:rPr>
          <w:rFonts w:hint="eastAsia" w:ascii="宋体" w:hAnsi="宋体"/>
          <w:color w:val="auto"/>
          <w:sz w:val="24"/>
          <w:highlight w:val="none"/>
        </w:rPr>
        <w:t>有足球教练员管理制度。</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cs="宋体"/>
          <w:b/>
          <w:color w:val="auto"/>
          <w:sz w:val="24"/>
          <w:szCs w:val="21"/>
          <w:highlight w:val="none"/>
          <w:lang w:val="en-US" w:eastAsia="zh-CN"/>
        </w:rPr>
      </w:pPr>
      <w:r>
        <w:rPr>
          <w:rFonts w:hint="eastAsia" w:ascii="宋体" w:hAnsi="宋体" w:cs="宋体"/>
          <w:b/>
          <w:color w:val="auto"/>
          <w:sz w:val="24"/>
          <w:szCs w:val="21"/>
          <w:highlight w:val="none"/>
          <w:lang w:val="en-US" w:eastAsia="zh-CN"/>
        </w:rPr>
        <w:t>服务方式</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中标人需承担“足球购买课程”项目所有的运作费用，为学校提供足球课程及校园足球指导和培训，不得向学校或学生额外收取费用和将项目委托第三方实施。</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负责我校</w:t>
      </w:r>
      <w:r>
        <w:rPr>
          <w:rFonts w:hint="eastAsia" w:ascii="宋体" w:hAnsi="宋体" w:cs="宋体"/>
          <w:b w:val="0"/>
          <w:bCs/>
          <w:color w:val="auto"/>
          <w:sz w:val="24"/>
          <w:szCs w:val="21"/>
          <w:highlight w:val="none"/>
          <w:lang w:val="en-US" w:eastAsia="zh-CN"/>
        </w:rPr>
        <w:t>低段足球体育课、中段足球梯队训练课及高段足球梯队训练课</w:t>
      </w:r>
      <w:r>
        <w:rPr>
          <w:rFonts w:hint="eastAsia" w:ascii="宋体" w:hAnsi="宋体"/>
          <w:color w:val="auto"/>
          <w:sz w:val="24"/>
          <w:highlight w:val="none"/>
          <w:lang w:val="en-US" w:eastAsia="zh-CN"/>
        </w:rPr>
        <w:t>，体育课课时为40分钟，训练课课时为120分钟。为确保课堂安全有效开展，每节体育课及梯队训练课教练员数不得少于两人</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中标人负责在项目实施期间支付参与工作人员、足球教练员的薪酬和劳务费等费用，薪酬等费用必须按照国家及相关行业标准执行，并对参与的足球教练员工作情况实施管理。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若聘用外籍教练员，需签订合法劳动合同，并提供合法工作签证或外国专家证等合法证明。</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中标人负责派出教练员的管理，项目完成后，向采购人提交项目完成情况报告。</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cs="宋体"/>
          <w:b/>
          <w:color w:val="auto"/>
          <w:sz w:val="24"/>
          <w:szCs w:val="21"/>
          <w:highlight w:val="none"/>
          <w:lang w:val="en-US" w:eastAsia="zh-CN"/>
        </w:rPr>
      </w:pPr>
      <w:r>
        <w:rPr>
          <w:rFonts w:hint="eastAsia" w:ascii="宋体" w:hAnsi="宋体" w:cs="宋体"/>
          <w:b/>
          <w:color w:val="auto"/>
          <w:sz w:val="24"/>
          <w:szCs w:val="21"/>
          <w:highlight w:val="none"/>
          <w:lang w:val="en-US" w:eastAsia="zh-CN"/>
        </w:rPr>
        <w:t>教练员要求及工作职责</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年龄在18周岁以上，须持D级或以上教练员岗位证书，具有较强的足球教学训练能力，熟悉校园足球工作。</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热爱青少年，热爱教育事业；思想品德好，作风正派，身体健康，仪表端庄，文明守纪；</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具有较高的专业知识，较强的教学训练能力，有一定的训练策略，能运用灵活的训练手段，学生兴趣得到培养，能力得到提高；</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自觉遵守学校的各项规章制度。不以学校的名义在外办班，不以个人名义收取学生的费用，不推销训练用品或其他物品。</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应当努力完成本职工作，教学时做好安全防护措施，避免出现不必要的伤害事故；</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教学时要严格要求自己，以身作则，教学中必须穿运动服、运动鞋，不迟到、不早退，公、私、病假事先请假；</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0"/>
        <w:textAlignment w:val="auto"/>
        <w:outlineLvl w:val="1"/>
        <w:rPr>
          <w:rFonts w:hint="eastAsia" w:ascii="宋体" w:hAnsi="宋体" w:cs="宋体"/>
          <w:b/>
          <w:color w:val="auto"/>
          <w:sz w:val="24"/>
          <w:szCs w:val="21"/>
          <w:highlight w:val="none"/>
        </w:rPr>
      </w:pPr>
      <w:bookmarkStart w:id="7" w:name="_Toc21781"/>
      <w:bookmarkStart w:id="8" w:name="_Toc14143"/>
      <w:r>
        <w:rPr>
          <w:rFonts w:hint="eastAsia" w:ascii="宋体" w:hAnsi="宋体" w:cs="宋体"/>
          <w:b/>
          <w:color w:val="auto"/>
          <w:sz w:val="24"/>
          <w:szCs w:val="21"/>
          <w:highlight w:val="none"/>
        </w:rPr>
        <w:t>商务要求</w:t>
      </w:r>
      <w:bookmarkEnd w:id="5"/>
      <w:bookmarkEnd w:id="6"/>
      <w:bookmarkEnd w:id="7"/>
      <w:bookmarkEnd w:id="8"/>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rPr>
      </w:pPr>
      <w:r>
        <w:rPr>
          <w:rFonts w:hint="eastAsia" w:ascii="宋体" w:hAnsi="宋体"/>
          <w:color w:val="auto"/>
          <w:sz w:val="24"/>
          <w:highlight w:val="none"/>
        </w:rPr>
        <w:t>服务期限</w:t>
      </w:r>
      <w:r>
        <w:rPr>
          <w:rFonts w:hint="eastAsia" w:ascii="宋体" w:hAnsi="宋体"/>
          <w:color w:val="auto"/>
          <w:sz w:val="24"/>
          <w:highlight w:val="none"/>
          <w:lang w:eastAsia="zh-CN"/>
        </w:rPr>
        <w:t>：按照采购人的要求，合同期限为：</w:t>
      </w:r>
      <w:r>
        <w:rPr>
          <w:rFonts w:hint="eastAsia" w:ascii="宋体" w:hAnsi="宋体"/>
          <w:color w:val="auto"/>
          <w:sz w:val="24"/>
          <w:highlight w:val="none"/>
          <w:lang w:val="en-US" w:eastAsia="zh-CN"/>
        </w:rPr>
        <w:t>2020年9月初至2020年12月底。</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rPr>
      </w:pPr>
      <w:r>
        <w:rPr>
          <w:rFonts w:hint="eastAsia" w:ascii="宋体" w:hAnsi="宋体"/>
          <w:color w:val="auto"/>
          <w:sz w:val="24"/>
          <w:highlight w:val="none"/>
          <w:lang w:eastAsia="zh-CN"/>
        </w:rPr>
        <w:t>本项目服务费采用</w:t>
      </w:r>
      <w:r>
        <w:rPr>
          <w:rFonts w:hint="eastAsia" w:ascii="宋体" w:hAnsi="宋体"/>
          <w:color w:val="auto"/>
          <w:sz w:val="24"/>
          <w:highlight w:val="none"/>
          <w:lang w:val="en-US" w:eastAsia="zh-CN"/>
        </w:rPr>
        <w:t>单项报价</w:t>
      </w:r>
      <w:r>
        <w:rPr>
          <w:rFonts w:hint="eastAsia" w:ascii="宋体" w:hAnsi="宋体"/>
          <w:color w:val="auto"/>
          <w:sz w:val="24"/>
          <w:highlight w:val="none"/>
          <w:lang w:eastAsia="zh-CN"/>
        </w:rPr>
        <w:t>包干制，应包括服务成本、法定税费和企业的利润。由投标人根据招标文件所提供的资料自行测算投标报价；一经中标，投标报价作为中标人与采购人签定的合同</w:t>
      </w:r>
      <w:r>
        <w:rPr>
          <w:rFonts w:hint="eastAsia" w:ascii="宋体" w:hAnsi="宋体"/>
          <w:color w:val="auto"/>
          <w:sz w:val="24"/>
          <w:highlight w:val="none"/>
          <w:lang w:val="en-US" w:eastAsia="zh-CN"/>
        </w:rPr>
        <w:t>单项</w:t>
      </w:r>
      <w:r>
        <w:rPr>
          <w:rFonts w:hint="eastAsia" w:ascii="宋体" w:hAnsi="宋体"/>
          <w:color w:val="auto"/>
          <w:sz w:val="24"/>
          <w:highlight w:val="none"/>
          <w:lang w:eastAsia="zh-CN"/>
        </w:rPr>
        <w:t>金额，合同期限内不做调整</w:t>
      </w:r>
      <w:r>
        <w:rPr>
          <w:rFonts w:hint="eastAsia" w:ascii="宋体" w:hAnsi="宋体"/>
          <w:color w:val="auto"/>
          <w:sz w:val="24"/>
          <w:highlight w:val="none"/>
        </w:rPr>
        <w:t>。</w:t>
      </w:r>
      <w:r>
        <w:rPr>
          <w:rFonts w:hint="eastAsia" w:ascii="宋体" w:hAnsi="宋体"/>
          <w:color w:val="auto"/>
          <w:sz w:val="24"/>
          <w:highlight w:val="none"/>
          <w:lang w:val="en-US" w:eastAsia="zh-CN"/>
        </w:rPr>
        <w:t>最终结算按照实际课时量结算，但不超过本项目的财政控制金额。</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rPr>
      </w:pPr>
      <w:r>
        <w:rPr>
          <w:rFonts w:hint="eastAsia" w:ascii="宋体" w:hAnsi="宋体"/>
          <w:color w:val="auto"/>
          <w:sz w:val="24"/>
          <w:highlight w:val="none"/>
        </w:rPr>
        <w:t>投标人应根据本企业的成本自行决定报价，但不得以低于其企业成本的报价投标。</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b/>
          <w:bCs/>
          <w:color w:val="auto"/>
          <w:sz w:val="24"/>
          <w:highlight w:val="none"/>
        </w:rPr>
      </w:pPr>
      <w:r>
        <w:rPr>
          <w:rFonts w:hint="eastAsia" w:ascii="宋体" w:hAnsi="宋体" w:cs="宋体"/>
          <w:b/>
          <w:bCs/>
          <w:color w:val="auto"/>
          <w:sz w:val="24"/>
          <w:highlight w:val="none"/>
        </w:rPr>
        <w:t>本项目的财政控制金额为人民币</w:t>
      </w:r>
      <w:r>
        <w:rPr>
          <w:rFonts w:hint="eastAsia" w:ascii="宋体" w:hAnsi="宋体" w:cs="宋体"/>
          <w:b/>
          <w:bCs/>
          <w:color w:val="auto"/>
          <w:sz w:val="24"/>
          <w:highlight w:val="none"/>
          <w:lang w:val="en-US" w:eastAsia="zh-CN"/>
        </w:rPr>
        <w:t>65</w:t>
      </w:r>
      <w:r>
        <w:rPr>
          <w:rFonts w:hint="eastAsia" w:ascii="宋体" w:hAnsi="宋体" w:cs="宋体"/>
          <w:b/>
          <w:bCs/>
          <w:color w:val="auto"/>
          <w:sz w:val="24"/>
          <w:highlight w:val="none"/>
        </w:rPr>
        <w:t>万元，</w:t>
      </w:r>
      <w:r>
        <w:rPr>
          <w:rFonts w:hint="eastAsia" w:ascii="宋体" w:hAnsi="宋体" w:cs="宋体"/>
          <w:b/>
          <w:bCs/>
          <w:color w:val="auto"/>
          <w:sz w:val="24"/>
          <w:highlight w:val="none"/>
          <w:lang w:eastAsia="zh-CN"/>
        </w:rPr>
        <w:t>其中低段足球体育课及中段足球梯队训练课投标限价为人民币</w:t>
      </w:r>
      <w:r>
        <w:rPr>
          <w:rFonts w:hint="eastAsia" w:ascii="宋体" w:hAnsi="宋体" w:cs="宋体"/>
          <w:b/>
          <w:bCs/>
          <w:color w:val="auto"/>
          <w:sz w:val="24"/>
          <w:highlight w:val="none"/>
          <w:lang w:val="en-US" w:eastAsia="zh-CN"/>
        </w:rPr>
        <w:t>30万元（资金来源为2020年度教育费附加），高段足球梯队训练课投标限价为人民币35万元（资金来源为2020年度“四点半”活动专项经费）</w:t>
      </w:r>
      <w:r>
        <w:rPr>
          <w:rFonts w:hint="eastAsia" w:ascii="宋体" w:hAnsi="宋体"/>
          <w:b/>
          <w:bCs/>
          <w:color w:val="auto"/>
          <w:sz w:val="24"/>
          <w:highlight w:val="none"/>
        </w:rPr>
        <w:t>。</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s="宋体"/>
          <w:b w:val="0"/>
          <w:bCs/>
          <w:color w:val="auto"/>
          <w:sz w:val="24"/>
          <w:szCs w:val="21"/>
          <w:highlight w:val="none"/>
          <w:lang w:val="en-US" w:eastAsia="zh-CN"/>
        </w:rPr>
      </w:pPr>
      <w:r>
        <w:rPr>
          <w:rFonts w:hint="eastAsia" w:ascii="宋体" w:hAnsi="宋体"/>
          <w:b w:val="0"/>
          <w:bCs w:val="0"/>
          <w:color w:val="auto"/>
          <w:sz w:val="24"/>
          <w:highlight w:val="none"/>
        </w:rPr>
        <w:t>投标人的投标报价，应是本项目招标范围和招标文件及合同条款上所列的各项内容中所述的全部，不得以任何理由予以重复，并以投标人在投标文件中提出的综合单价或总价为依据。</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color w:val="auto"/>
          <w:sz w:val="24"/>
          <w:highlight w:val="none"/>
        </w:rPr>
      </w:pPr>
      <w:r>
        <w:rPr>
          <w:rFonts w:hint="eastAsia" w:ascii="宋体" w:hAnsi="宋体"/>
          <w:color w:val="auto"/>
          <w:sz w:val="24"/>
          <w:highlight w:val="none"/>
        </w:rPr>
        <w:t>付款方式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按深圳市</w:t>
      </w:r>
      <w:r>
        <w:rPr>
          <w:rFonts w:hint="eastAsia" w:ascii="宋体" w:hAnsi="宋体"/>
          <w:color w:val="auto"/>
          <w:sz w:val="24"/>
          <w:highlight w:val="none"/>
          <w:lang w:val="en-US" w:eastAsia="zh-CN"/>
        </w:rPr>
        <w:t>南山区</w:t>
      </w:r>
      <w:r>
        <w:rPr>
          <w:rFonts w:hint="eastAsia" w:ascii="宋体" w:hAnsi="宋体"/>
          <w:color w:val="auto"/>
          <w:sz w:val="24"/>
          <w:highlight w:val="none"/>
        </w:rPr>
        <w:t>财政局有关规定执行。</w:t>
      </w:r>
    </w:p>
    <w:p>
      <w:pPr>
        <w:rPr>
          <w:color w:val="auto"/>
        </w:rPr>
      </w:pPr>
      <w:r>
        <w:rPr>
          <w:color w:val="auto"/>
        </w:rPr>
        <w:br w:type="page"/>
      </w:r>
    </w:p>
    <w:p>
      <w:pPr>
        <w:spacing w:line="360" w:lineRule="auto"/>
        <w:rPr>
          <w:b/>
          <w:color w:val="auto"/>
          <w:sz w:val="24"/>
        </w:rPr>
      </w:pPr>
      <w:r>
        <w:rPr>
          <w:rFonts w:hint="eastAsia"/>
          <w:b/>
          <w:color w:val="auto"/>
          <w:sz w:val="24"/>
        </w:rPr>
        <w:t>附表三</w:t>
      </w:r>
      <w:r>
        <w:rPr>
          <w:b/>
          <w:color w:val="auto"/>
          <w:sz w:val="24"/>
        </w:rPr>
        <w:t>：评标项目的</w:t>
      </w:r>
      <w:r>
        <w:rPr>
          <w:rFonts w:hint="eastAsia"/>
          <w:b/>
          <w:color w:val="auto"/>
          <w:sz w:val="24"/>
        </w:rPr>
        <w:t>分值分配</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130"/>
        <w:gridCol w:w="2131"/>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131" w:type="dxa"/>
            <w:shd w:val="clear" w:color="auto" w:fill="D9D9D9"/>
            <w:vAlign w:val="center"/>
          </w:tcPr>
          <w:p>
            <w:pPr>
              <w:jc w:val="center"/>
              <w:rPr>
                <w:rFonts w:ascii="宋体" w:hAnsi="宋体"/>
                <w:b/>
                <w:color w:val="auto"/>
                <w:sz w:val="24"/>
              </w:rPr>
            </w:pPr>
            <w:bookmarkStart w:id="9" w:name="OLE_LINK13" w:colFirst="0" w:colLast="4"/>
            <w:r>
              <w:rPr>
                <w:rFonts w:ascii="宋体" w:hAnsi="宋体"/>
                <w:b/>
                <w:color w:val="auto"/>
                <w:sz w:val="24"/>
              </w:rPr>
              <w:t>评分项目</w:t>
            </w:r>
          </w:p>
        </w:tc>
        <w:tc>
          <w:tcPr>
            <w:tcW w:w="2130" w:type="dxa"/>
            <w:shd w:val="clear" w:color="auto" w:fill="D9D9D9"/>
            <w:vAlign w:val="center"/>
          </w:tcPr>
          <w:p>
            <w:pPr>
              <w:jc w:val="center"/>
              <w:rPr>
                <w:rFonts w:hint="default" w:ascii="宋体" w:hAnsi="宋体" w:eastAsia="宋体"/>
                <w:b/>
                <w:color w:val="auto"/>
                <w:sz w:val="24"/>
                <w:lang w:val="en-US" w:eastAsia="zh-CN"/>
              </w:rPr>
            </w:pPr>
            <w:r>
              <w:rPr>
                <w:rFonts w:hint="eastAsia" w:ascii="宋体" w:hAnsi="宋体"/>
                <w:b/>
                <w:color w:val="auto"/>
                <w:sz w:val="24"/>
                <w:lang w:val="en-US" w:eastAsia="zh-CN"/>
              </w:rPr>
              <w:t>技术商务部分</w:t>
            </w:r>
          </w:p>
        </w:tc>
        <w:tc>
          <w:tcPr>
            <w:tcW w:w="2131" w:type="dxa"/>
            <w:shd w:val="clear" w:color="auto" w:fill="D9D9D9"/>
            <w:vAlign w:val="center"/>
          </w:tcPr>
          <w:p>
            <w:pPr>
              <w:jc w:val="center"/>
              <w:rPr>
                <w:rFonts w:ascii="宋体" w:hAnsi="宋体"/>
                <w:b/>
                <w:color w:val="auto"/>
                <w:sz w:val="24"/>
              </w:rPr>
            </w:pPr>
            <w:r>
              <w:rPr>
                <w:rFonts w:ascii="宋体" w:hAnsi="宋体"/>
                <w:b/>
                <w:color w:val="auto"/>
                <w:sz w:val="24"/>
              </w:rPr>
              <w:t>价格部分</w:t>
            </w:r>
          </w:p>
        </w:tc>
        <w:tc>
          <w:tcPr>
            <w:tcW w:w="2130" w:type="dxa"/>
            <w:shd w:val="clear" w:color="auto" w:fill="D9D9D9"/>
            <w:vAlign w:val="center"/>
          </w:tcPr>
          <w:p>
            <w:pPr>
              <w:jc w:val="center"/>
              <w:rPr>
                <w:rFonts w:ascii="宋体" w:hAnsi="宋体"/>
                <w:b/>
                <w:color w:val="auto"/>
                <w:sz w:val="24"/>
              </w:rPr>
            </w:pPr>
            <w:r>
              <w:rPr>
                <w:rFonts w:ascii="宋体" w:hAnsi="宋体"/>
                <w:b/>
                <w:color w:val="auto"/>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131" w:type="dxa"/>
            <w:vAlign w:val="center"/>
          </w:tcPr>
          <w:p>
            <w:pPr>
              <w:jc w:val="center"/>
              <w:rPr>
                <w:rFonts w:hint="eastAsia" w:ascii="宋体" w:hAnsi="宋体"/>
                <w:color w:val="auto"/>
                <w:sz w:val="24"/>
              </w:rPr>
            </w:pPr>
            <w:r>
              <w:rPr>
                <w:rFonts w:hint="eastAsia" w:ascii="宋体" w:hAnsi="宋体"/>
                <w:color w:val="auto"/>
                <w:sz w:val="24"/>
              </w:rPr>
              <w:t>权重</w:t>
            </w:r>
          </w:p>
        </w:tc>
        <w:tc>
          <w:tcPr>
            <w:tcW w:w="2130" w:type="dxa"/>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80</w:t>
            </w:r>
            <w:r>
              <w:rPr>
                <w:rFonts w:hint="eastAsia" w:ascii="宋体" w:hAnsi="宋体"/>
                <w:color w:val="auto"/>
                <w:sz w:val="24"/>
              </w:rPr>
              <w:t>%</w:t>
            </w:r>
          </w:p>
        </w:tc>
        <w:tc>
          <w:tcPr>
            <w:tcW w:w="2131" w:type="dxa"/>
            <w:vAlign w:val="center"/>
          </w:tcPr>
          <w:p>
            <w:pPr>
              <w:jc w:val="center"/>
              <w:rPr>
                <w:rFonts w:hint="eastAsia" w:ascii="宋体" w:hAnsi="宋体"/>
                <w:color w:val="auto"/>
                <w:sz w:val="24"/>
              </w:rPr>
            </w:pPr>
            <w:r>
              <w:rPr>
                <w:rFonts w:hint="eastAsia" w:ascii="宋体" w:hAnsi="宋体"/>
                <w:color w:val="auto"/>
                <w:sz w:val="24"/>
                <w:lang w:val="en-US" w:eastAsia="zh-CN"/>
              </w:rPr>
              <w:t>20</w:t>
            </w:r>
            <w:r>
              <w:rPr>
                <w:rFonts w:hint="eastAsia" w:ascii="宋体" w:hAnsi="宋体"/>
                <w:color w:val="auto"/>
                <w:sz w:val="24"/>
              </w:rPr>
              <w:t>%</w:t>
            </w:r>
          </w:p>
        </w:tc>
        <w:tc>
          <w:tcPr>
            <w:tcW w:w="2130" w:type="dxa"/>
            <w:vAlign w:val="center"/>
          </w:tcPr>
          <w:p>
            <w:pPr>
              <w:jc w:val="center"/>
              <w:rPr>
                <w:rFonts w:hint="eastAsia" w:ascii="宋体" w:hAnsi="宋体"/>
                <w:color w:val="auto"/>
                <w:sz w:val="24"/>
              </w:rPr>
            </w:pPr>
            <w:r>
              <w:rPr>
                <w:rFonts w:hint="eastAsia" w:ascii="宋体" w:hAnsi="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131" w:type="dxa"/>
            <w:vAlign w:val="center"/>
          </w:tcPr>
          <w:p>
            <w:pPr>
              <w:jc w:val="center"/>
              <w:rPr>
                <w:rFonts w:hint="eastAsia" w:ascii="宋体" w:hAnsi="宋体"/>
                <w:color w:val="auto"/>
                <w:sz w:val="24"/>
              </w:rPr>
            </w:pPr>
            <w:r>
              <w:rPr>
                <w:rFonts w:hint="eastAsia" w:ascii="宋体" w:hAnsi="宋体"/>
                <w:color w:val="auto"/>
                <w:sz w:val="24"/>
              </w:rPr>
              <w:t>分值</w:t>
            </w:r>
          </w:p>
        </w:tc>
        <w:tc>
          <w:tcPr>
            <w:tcW w:w="2130" w:type="dxa"/>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80分</w:t>
            </w:r>
          </w:p>
        </w:tc>
        <w:tc>
          <w:tcPr>
            <w:tcW w:w="2131" w:type="dxa"/>
            <w:vAlign w:val="center"/>
          </w:tcPr>
          <w:p>
            <w:pPr>
              <w:jc w:val="center"/>
              <w:rPr>
                <w:rFonts w:hint="eastAsia" w:ascii="宋体" w:hAnsi="宋体"/>
                <w:color w:val="auto"/>
                <w:sz w:val="24"/>
              </w:rPr>
            </w:pPr>
            <w:r>
              <w:rPr>
                <w:rFonts w:hint="eastAsia" w:ascii="宋体" w:hAnsi="宋体"/>
                <w:color w:val="auto"/>
                <w:sz w:val="24"/>
                <w:lang w:val="en-US" w:eastAsia="zh-CN"/>
              </w:rPr>
              <w:t>20</w:t>
            </w:r>
            <w:r>
              <w:rPr>
                <w:rFonts w:hint="eastAsia" w:ascii="宋体" w:hAnsi="宋体"/>
                <w:color w:val="auto"/>
                <w:sz w:val="24"/>
              </w:rPr>
              <w:t>分</w:t>
            </w:r>
          </w:p>
        </w:tc>
        <w:tc>
          <w:tcPr>
            <w:tcW w:w="2130" w:type="dxa"/>
            <w:vAlign w:val="center"/>
          </w:tcPr>
          <w:p>
            <w:pPr>
              <w:jc w:val="center"/>
              <w:rPr>
                <w:rFonts w:hint="eastAsia" w:ascii="宋体" w:hAnsi="宋体"/>
                <w:color w:val="auto"/>
                <w:sz w:val="24"/>
              </w:rPr>
            </w:pPr>
            <w:r>
              <w:rPr>
                <w:rFonts w:hint="eastAsia" w:ascii="宋体" w:hAnsi="宋体"/>
                <w:color w:val="auto"/>
                <w:sz w:val="24"/>
              </w:rPr>
              <w:t>100分</w:t>
            </w:r>
          </w:p>
        </w:tc>
      </w:tr>
      <w:bookmarkEnd w:id="9"/>
    </w:tbl>
    <w:p>
      <w:pPr>
        <w:spacing w:line="360" w:lineRule="auto"/>
        <w:rPr>
          <w:b/>
          <w:color w:val="auto"/>
          <w:sz w:val="24"/>
        </w:rPr>
      </w:pPr>
      <w:bookmarkStart w:id="10" w:name="_Hlk531792563"/>
      <w:r>
        <w:rPr>
          <w:rFonts w:hint="eastAsia"/>
          <w:b/>
          <w:color w:val="auto"/>
          <w:sz w:val="24"/>
        </w:rPr>
        <w:t>附表四：</w:t>
      </w:r>
      <w:r>
        <w:rPr>
          <w:rFonts w:hint="eastAsia"/>
          <w:b/>
          <w:color w:val="auto"/>
          <w:sz w:val="24"/>
          <w:lang w:val="en-US" w:eastAsia="zh-CN"/>
        </w:rPr>
        <w:t>技术</w:t>
      </w:r>
      <w:r>
        <w:rPr>
          <w:rFonts w:hint="eastAsia"/>
          <w:b/>
          <w:color w:val="auto"/>
          <w:sz w:val="24"/>
        </w:rPr>
        <w:t>商务</w:t>
      </w:r>
      <w:r>
        <w:rPr>
          <w:b/>
          <w:color w:val="auto"/>
          <w:sz w:val="24"/>
        </w:rPr>
        <w:t>评审表</w:t>
      </w:r>
    </w:p>
    <w:tbl>
      <w:tblPr>
        <w:tblStyle w:val="6"/>
        <w:tblW w:w="842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759"/>
        <w:gridCol w:w="1291"/>
        <w:gridCol w:w="786"/>
        <w:gridCol w:w="55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trHeight w:val="567" w:hRule="atLeast"/>
          <w:tblHeader/>
          <w:jc w:val="center"/>
        </w:trPr>
        <w:tc>
          <w:tcPr>
            <w:tcW w:w="759" w:type="dxa"/>
            <w:tcBorders>
              <w:top w:val="single" w:color="auto" w:sz="2" w:space="0"/>
              <w:left w:val="single" w:color="auto" w:sz="2" w:space="0"/>
              <w:bottom w:val="single" w:color="auto" w:sz="2" w:space="0"/>
              <w:right w:val="single" w:color="auto" w:sz="4" w:space="0"/>
            </w:tcBorders>
            <w:shd w:val="clear" w:color="auto" w:fill="D9D9D9"/>
            <w:vAlign w:val="center"/>
          </w:tcPr>
          <w:p>
            <w:pPr>
              <w:pStyle w:val="7"/>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序号</w:t>
            </w:r>
          </w:p>
        </w:tc>
        <w:tc>
          <w:tcPr>
            <w:tcW w:w="1291" w:type="dxa"/>
            <w:tcBorders>
              <w:top w:val="single" w:color="auto" w:sz="2" w:space="0"/>
              <w:left w:val="single" w:color="auto" w:sz="4" w:space="0"/>
              <w:bottom w:val="single" w:color="auto" w:sz="2" w:space="0"/>
              <w:right w:val="single" w:color="auto" w:sz="2" w:space="0"/>
            </w:tcBorders>
            <w:shd w:val="clear" w:color="auto" w:fill="D9D9D9"/>
            <w:vAlign w:val="center"/>
          </w:tcPr>
          <w:p>
            <w:pPr>
              <w:pStyle w:val="7"/>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评审内容</w:t>
            </w:r>
          </w:p>
        </w:tc>
        <w:tc>
          <w:tcPr>
            <w:tcW w:w="786" w:type="dxa"/>
            <w:tcBorders>
              <w:top w:val="single" w:color="auto" w:sz="4" w:space="0"/>
              <w:left w:val="single" w:color="auto" w:sz="4" w:space="0"/>
              <w:right w:val="single" w:color="auto" w:sz="2" w:space="0"/>
            </w:tcBorders>
            <w:shd w:val="clear" w:color="auto" w:fill="D9D9D9"/>
            <w:vAlign w:val="center"/>
          </w:tcPr>
          <w:p>
            <w:pPr>
              <w:pStyle w:val="7"/>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分值</w:t>
            </w:r>
          </w:p>
        </w:tc>
        <w:tc>
          <w:tcPr>
            <w:tcW w:w="5584" w:type="dxa"/>
            <w:tcBorders>
              <w:top w:val="single" w:color="auto" w:sz="4" w:space="0"/>
              <w:left w:val="single" w:color="auto" w:sz="4" w:space="0"/>
              <w:right w:val="single" w:color="auto" w:sz="2" w:space="0"/>
            </w:tcBorders>
            <w:shd w:val="clear" w:color="auto" w:fill="D9D9D9"/>
            <w:vAlign w:val="center"/>
          </w:tcPr>
          <w:p>
            <w:pPr>
              <w:pStyle w:val="7"/>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评审标准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trHeight w:val="567" w:hRule="atLeast"/>
          <w:jc w:val="center"/>
        </w:trPr>
        <w:tc>
          <w:tcPr>
            <w:tcW w:w="759" w:type="dxa"/>
            <w:tcBorders>
              <w:top w:val="single" w:color="auto" w:sz="2" w:space="0"/>
              <w:left w:val="single" w:color="auto" w:sz="2" w:space="0"/>
              <w:right w:val="single" w:color="auto" w:sz="4" w:space="0"/>
            </w:tcBorders>
            <w:vAlign w:val="center"/>
          </w:tcPr>
          <w:p>
            <w:pPr>
              <w:pStyle w:val="7"/>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1291" w:type="dxa"/>
            <w:tcBorders>
              <w:top w:val="single" w:color="auto" w:sz="2" w:space="0"/>
              <w:left w:val="single" w:color="auto" w:sz="4" w:space="0"/>
              <w:right w:val="single" w:color="auto" w:sz="2" w:space="0"/>
            </w:tcBorders>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师资</w:t>
            </w:r>
            <w:r>
              <w:rPr>
                <w:rFonts w:hint="eastAsia" w:ascii="宋体" w:hAnsi="宋体"/>
                <w:color w:val="auto"/>
                <w:sz w:val="24"/>
                <w:highlight w:val="none"/>
                <w:lang w:val="en-US" w:eastAsia="zh-CN"/>
              </w:rPr>
              <w:t>力量</w:t>
            </w:r>
          </w:p>
        </w:tc>
        <w:tc>
          <w:tcPr>
            <w:tcW w:w="786" w:type="dxa"/>
            <w:tcBorders>
              <w:top w:val="single" w:color="auto" w:sz="4" w:space="0"/>
              <w:left w:val="single" w:color="auto" w:sz="4" w:space="0"/>
              <w:right w:val="single" w:color="auto" w:sz="2" w:space="0"/>
            </w:tcBorders>
            <w:vAlign w:val="center"/>
          </w:tcPr>
          <w:p>
            <w:pPr>
              <w:spacing w:line="360" w:lineRule="auto"/>
              <w:jc w:val="center"/>
              <w:rPr>
                <w:rFonts w:hint="default" w:ascii="宋体" w:hAnsi="宋体" w:eastAsia="宋体"/>
                <w:color w:val="auto"/>
                <w:sz w:val="24"/>
                <w:highlight w:val="none"/>
                <w:lang w:val="en-US" w:eastAsia="zh-CN"/>
              </w:rPr>
            </w:pPr>
            <w:r>
              <w:rPr>
                <w:rFonts w:hint="default" w:ascii="宋体" w:hAnsi="宋体" w:eastAsia="宋体"/>
                <w:color w:val="auto"/>
                <w:sz w:val="24"/>
                <w:highlight w:val="none"/>
                <w:lang w:val="en-US" w:eastAsia="zh-CN"/>
              </w:rPr>
              <w:t>1</w:t>
            </w:r>
            <w:r>
              <w:rPr>
                <w:rFonts w:hint="eastAsia" w:ascii="宋体" w:hAnsi="宋体"/>
                <w:color w:val="auto"/>
                <w:sz w:val="24"/>
                <w:highlight w:val="none"/>
                <w:lang w:val="en-US" w:eastAsia="zh-CN"/>
              </w:rPr>
              <w:t>2</w:t>
            </w:r>
            <w:r>
              <w:rPr>
                <w:rFonts w:hint="default" w:ascii="宋体" w:hAnsi="宋体" w:eastAsia="宋体"/>
                <w:color w:val="auto"/>
                <w:sz w:val="24"/>
                <w:highlight w:val="none"/>
                <w:lang w:val="en-US" w:eastAsia="zh-CN"/>
              </w:rPr>
              <w:t>分</w:t>
            </w:r>
          </w:p>
        </w:tc>
        <w:tc>
          <w:tcPr>
            <w:tcW w:w="5584" w:type="dxa"/>
            <w:tcBorders>
              <w:top w:val="single" w:color="auto" w:sz="4" w:space="0"/>
              <w:left w:val="single" w:color="auto" w:sz="4"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olor w:val="auto"/>
                <w:sz w:val="24"/>
                <w:highlight w:val="none"/>
                <w:lang w:val="en-US" w:eastAsia="zh-CN"/>
              </w:rPr>
            </w:pPr>
            <w:r>
              <w:rPr>
                <w:rFonts w:hint="eastAsia" w:ascii="宋体" w:hAnsi="宋体"/>
                <w:color w:val="auto"/>
                <w:sz w:val="24"/>
                <w:highlight w:val="none"/>
                <w:lang w:eastAsia="zh-CN"/>
              </w:rPr>
              <w:t>教练员全部持有</w:t>
            </w:r>
            <w:r>
              <w:rPr>
                <w:rFonts w:hint="eastAsia" w:ascii="宋体" w:hAnsi="宋体"/>
                <w:color w:val="auto"/>
                <w:sz w:val="24"/>
                <w:highlight w:val="none"/>
                <w:lang w:val="en-US" w:eastAsia="zh-CN"/>
              </w:rPr>
              <w:t>D级足球教练员证书得8分；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olor w:val="auto"/>
                <w:sz w:val="24"/>
                <w:highlight w:val="none"/>
              </w:rPr>
            </w:pPr>
            <w:r>
              <w:rPr>
                <w:rFonts w:hint="eastAsia" w:ascii="宋体" w:hAnsi="宋体"/>
                <w:color w:val="auto"/>
                <w:sz w:val="24"/>
                <w:highlight w:val="none"/>
              </w:rPr>
              <w:t>具有</w:t>
            </w:r>
            <w:r>
              <w:rPr>
                <w:rFonts w:hint="eastAsia" w:ascii="宋体" w:hAnsi="宋体"/>
                <w:color w:val="auto"/>
                <w:sz w:val="24"/>
                <w:highlight w:val="none"/>
                <w:lang w:eastAsia="zh-CN"/>
              </w:rPr>
              <w:t>至少</w:t>
            </w:r>
            <w:r>
              <w:rPr>
                <w:rFonts w:hint="eastAsia" w:ascii="宋体" w:hAnsi="宋体"/>
                <w:color w:val="auto"/>
                <w:sz w:val="24"/>
                <w:highlight w:val="none"/>
                <w:lang w:val="en-US" w:eastAsia="zh-CN"/>
              </w:rPr>
              <w:t>1</w:t>
            </w:r>
            <w:r>
              <w:rPr>
                <w:rFonts w:hint="eastAsia" w:ascii="宋体" w:hAnsi="宋体"/>
                <w:color w:val="auto"/>
                <w:sz w:val="24"/>
                <w:highlight w:val="none"/>
              </w:rPr>
              <w:t>名</w:t>
            </w:r>
            <w:r>
              <w:rPr>
                <w:rFonts w:hint="eastAsia" w:ascii="宋体" w:hAnsi="宋体"/>
                <w:color w:val="auto"/>
                <w:sz w:val="24"/>
                <w:highlight w:val="none"/>
                <w:lang w:eastAsia="zh-CN"/>
              </w:rPr>
              <w:t>持有</w:t>
            </w:r>
            <w:r>
              <w:rPr>
                <w:rFonts w:hint="eastAsia" w:ascii="宋体" w:hAnsi="宋体"/>
                <w:color w:val="auto"/>
                <w:sz w:val="24"/>
                <w:highlight w:val="none"/>
                <w:lang w:val="en-US" w:eastAsia="zh-CN"/>
              </w:rPr>
              <w:t>C</w:t>
            </w:r>
            <w:r>
              <w:rPr>
                <w:rFonts w:hint="eastAsia" w:ascii="宋体" w:hAnsi="宋体"/>
                <w:color w:val="auto"/>
                <w:sz w:val="24"/>
                <w:highlight w:val="none"/>
              </w:rPr>
              <w:t>级</w:t>
            </w:r>
            <w:r>
              <w:rPr>
                <w:rFonts w:hint="eastAsia" w:ascii="宋体" w:hAnsi="宋体"/>
                <w:color w:val="auto"/>
                <w:sz w:val="24"/>
                <w:highlight w:val="none"/>
                <w:lang w:eastAsia="zh-CN"/>
              </w:rPr>
              <w:t>足球教练员证书教练</w:t>
            </w:r>
            <w:r>
              <w:rPr>
                <w:rFonts w:hint="eastAsia" w:ascii="宋体" w:hAnsi="宋体"/>
                <w:color w:val="auto"/>
                <w:sz w:val="24"/>
                <w:highlight w:val="none"/>
              </w:rPr>
              <w:t>得</w:t>
            </w:r>
            <w:r>
              <w:rPr>
                <w:rFonts w:hint="eastAsia" w:ascii="宋体" w:hAnsi="宋体"/>
                <w:color w:val="auto"/>
                <w:sz w:val="24"/>
                <w:highlight w:val="none"/>
                <w:lang w:val="en-US" w:eastAsia="zh-CN"/>
              </w:rPr>
              <w:t>10</w:t>
            </w:r>
            <w:r>
              <w:rPr>
                <w:rFonts w:hint="eastAsia" w:ascii="宋体" w:hAnsi="宋体"/>
                <w:color w:val="auto"/>
                <w:sz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olor w:val="auto"/>
                <w:sz w:val="24"/>
                <w:highlight w:val="none"/>
              </w:rPr>
            </w:pPr>
            <w:r>
              <w:rPr>
                <w:rFonts w:hint="eastAsia" w:ascii="宋体" w:hAnsi="宋体"/>
                <w:color w:val="auto"/>
                <w:sz w:val="24"/>
                <w:highlight w:val="none"/>
              </w:rPr>
              <w:t>具有</w:t>
            </w:r>
            <w:r>
              <w:rPr>
                <w:rFonts w:hint="eastAsia" w:ascii="宋体" w:hAnsi="宋体"/>
                <w:color w:val="auto"/>
                <w:sz w:val="24"/>
                <w:highlight w:val="none"/>
                <w:lang w:eastAsia="zh-CN"/>
              </w:rPr>
              <w:t>至少</w:t>
            </w:r>
            <w:r>
              <w:rPr>
                <w:rFonts w:hint="eastAsia" w:ascii="宋体" w:hAnsi="宋体"/>
                <w:color w:val="auto"/>
                <w:sz w:val="24"/>
                <w:highlight w:val="none"/>
                <w:lang w:val="en-US" w:eastAsia="zh-CN"/>
              </w:rPr>
              <w:t>1</w:t>
            </w:r>
            <w:r>
              <w:rPr>
                <w:rFonts w:hint="eastAsia" w:ascii="宋体" w:hAnsi="宋体"/>
                <w:color w:val="auto"/>
                <w:sz w:val="24"/>
                <w:highlight w:val="none"/>
              </w:rPr>
              <w:t>名</w:t>
            </w:r>
            <w:r>
              <w:rPr>
                <w:rFonts w:hint="eastAsia" w:ascii="宋体" w:hAnsi="宋体"/>
                <w:color w:val="auto"/>
                <w:sz w:val="24"/>
                <w:highlight w:val="none"/>
                <w:lang w:eastAsia="zh-CN"/>
              </w:rPr>
              <w:t>持有</w:t>
            </w:r>
            <w:r>
              <w:rPr>
                <w:rFonts w:hint="eastAsia" w:ascii="宋体" w:hAnsi="宋体"/>
                <w:color w:val="auto"/>
                <w:sz w:val="24"/>
                <w:highlight w:val="none"/>
                <w:lang w:val="en-US" w:eastAsia="zh-CN"/>
              </w:rPr>
              <w:t>B</w:t>
            </w:r>
            <w:r>
              <w:rPr>
                <w:rFonts w:hint="eastAsia" w:ascii="宋体" w:hAnsi="宋体"/>
                <w:color w:val="auto"/>
                <w:sz w:val="24"/>
                <w:highlight w:val="none"/>
              </w:rPr>
              <w:t>级</w:t>
            </w:r>
            <w:r>
              <w:rPr>
                <w:rFonts w:hint="eastAsia" w:ascii="宋体" w:hAnsi="宋体"/>
                <w:color w:val="auto"/>
                <w:sz w:val="24"/>
                <w:highlight w:val="none"/>
                <w:lang w:eastAsia="zh-CN"/>
              </w:rPr>
              <w:t>足球教练员证书教练</w:t>
            </w:r>
            <w:r>
              <w:rPr>
                <w:rFonts w:hint="eastAsia" w:ascii="宋体" w:hAnsi="宋体"/>
                <w:color w:val="auto"/>
                <w:sz w:val="24"/>
                <w:highlight w:val="none"/>
              </w:rPr>
              <w:t>得</w:t>
            </w:r>
            <w:r>
              <w:rPr>
                <w:rFonts w:hint="eastAsia" w:ascii="宋体" w:hAnsi="宋体"/>
                <w:color w:val="auto"/>
                <w:sz w:val="24"/>
                <w:highlight w:val="none"/>
                <w:lang w:val="en-US" w:eastAsia="zh-CN"/>
              </w:rPr>
              <w:t>12</w:t>
            </w:r>
            <w:r>
              <w:rPr>
                <w:rFonts w:hint="eastAsia" w:ascii="宋体" w:hAnsi="宋体"/>
                <w:color w:val="auto"/>
                <w:sz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olor w:val="auto"/>
                <w:sz w:val="24"/>
                <w:highlight w:val="none"/>
              </w:rPr>
            </w:pPr>
            <w:r>
              <w:rPr>
                <w:rFonts w:hint="eastAsia" w:ascii="宋体" w:hAnsi="宋体"/>
                <w:color w:val="auto"/>
                <w:sz w:val="24"/>
                <w:highlight w:val="none"/>
              </w:rPr>
              <w:t>需提供足球教练员证书，不满足以上情况的不得分。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olor w:val="auto"/>
                <w:sz w:val="24"/>
                <w:highlight w:val="none"/>
              </w:rPr>
            </w:pPr>
            <w:r>
              <w:rPr>
                <w:rFonts w:hint="eastAsia" w:ascii="宋体" w:hAnsi="宋体"/>
                <w:b/>
                <w:bCs/>
                <w:color w:val="auto"/>
                <w:sz w:val="24"/>
                <w:highlight w:val="none"/>
              </w:rPr>
              <w:t>证明文件：</w:t>
            </w:r>
            <w:r>
              <w:rPr>
                <w:rFonts w:hint="eastAsia" w:ascii="宋体" w:hAnsi="宋体"/>
                <w:color w:val="auto"/>
                <w:sz w:val="24"/>
                <w:highlight w:val="none"/>
              </w:rPr>
              <w:t>提供相关证书的复印件加盖投标人公章，原件备查。如未按要求提供证明材料，或所提供的证明材料未能体现上述评分内容的，视为该证明材料无效。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trHeight w:val="567" w:hRule="atLeast"/>
          <w:jc w:val="center"/>
        </w:trPr>
        <w:tc>
          <w:tcPr>
            <w:tcW w:w="759" w:type="dxa"/>
            <w:tcBorders>
              <w:top w:val="single" w:color="auto" w:sz="2" w:space="0"/>
              <w:left w:val="single" w:color="auto" w:sz="2" w:space="0"/>
              <w:right w:val="single" w:color="auto" w:sz="4" w:space="0"/>
            </w:tcBorders>
            <w:vAlign w:val="center"/>
          </w:tcPr>
          <w:p>
            <w:pPr>
              <w:pStyle w:val="7"/>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2</w:t>
            </w:r>
          </w:p>
        </w:tc>
        <w:tc>
          <w:tcPr>
            <w:tcW w:w="1291" w:type="dxa"/>
            <w:tcBorders>
              <w:top w:val="single" w:color="auto" w:sz="2" w:space="0"/>
              <w:left w:val="single" w:color="auto" w:sz="4" w:space="0"/>
              <w:right w:val="single" w:color="auto" w:sz="2" w:space="0"/>
            </w:tcBorders>
            <w:vAlign w:val="center"/>
          </w:tcPr>
          <w:p>
            <w:pPr>
              <w:pStyle w:val="7"/>
              <w:spacing w:line="360" w:lineRule="auto"/>
              <w:jc w:val="center"/>
              <w:rPr>
                <w:rFonts w:hint="eastAsia" w:ascii="宋体" w:hAnsi="宋体"/>
                <w:color w:val="auto"/>
                <w:sz w:val="24"/>
                <w:highlight w:val="none"/>
              </w:rPr>
            </w:pPr>
            <w:r>
              <w:rPr>
                <w:rFonts w:hint="eastAsia" w:ascii="宋体" w:hAnsi="宋体" w:cs="宋体"/>
                <w:color w:val="auto"/>
                <w:sz w:val="24"/>
                <w:highlight w:val="none"/>
                <w:lang w:val="en-US" w:eastAsia="zh-CN"/>
              </w:rPr>
              <w:t>服务方案</w:t>
            </w:r>
          </w:p>
        </w:tc>
        <w:tc>
          <w:tcPr>
            <w:tcW w:w="786" w:type="dxa"/>
            <w:tcBorders>
              <w:top w:val="single" w:color="auto" w:sz="4" w:space="0"/>
              <w:left w:val="single" w:color="auto" w:sz="4" w:space="0"/>
              <w:right w:val="single" w:color="auto" w:sz="2" w:space="0"/>
            </w:tcBorders>
            <w:vAlign w:val="center"/>
          </w:tcPr>
          <w:p>
            <w:pPr>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25</w:t>
            </w:r>
            <w:r>
              <w:rPr>
                <w:rFonts w:hint="default" w:ascii="宋体" w:hAnsi="宋体" w:eastAsia="宋体"/>
                <w:color w:val="auto"/>
                <w:sz w:val="24"/>
                <w:highlight w:val="none"/>
                <w:lang w:val="en-US" w:eastAsia="zh-CN"/>
              </w:rPr>
              <w:t>分</w:t>
            </w:r>
          </w:p>
        </w:tc>
        <w:tc>
          <w:tcPr>
            <w:tcW w:w="5584" w:type="dxa"/>
            <w:tcBorders>
              <w:top w:val="single" w:color="auto" w:sz="4" w:space="0"/>
              <w:left w:val="single" w:color="auto" w:sz="4"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评审专家根据投标人提供的服务方案（包括但不限于学年教学计划、课程大纲、教学安全方案等）并结合招标文件要求进行综合评价：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投标人所提供的服务方案（包括学年教学计划、课程大纲、教学安全方案）完全满足采购需求，可行、合理，得25分；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投标人所提供的服务方案（包括学年教学计划、课程大纲、教学安全方案）比较能满足采购需求，比较可行、合理，得20分；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投标人所提供的服务方案（包括学年教学计划、课程大纲、教学安全方案）基本满足采购需求，基本可行、合理，得10分；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olor w:val="auto"/>
                <w:sz w:val="24"/>
                <w:highlight w:val="none"/>
              </w:rPr>
            </w:pPr>
            <w:r>
              <w:rPr>
                <w:rFonts w:hint="eastAsia" w:ascii="宋体" w:hAnsi="宋体"/>
                <w:color w:val="auto"/>
                <w:sz w:val="24"/>
                <w:highlight w:val="none"/>
                <w:lang w:val="en-US" w:eastAsia="zh-CN"/>
              </w:rPr>
              <w:t>投标人所提供的服务方案（包括学年教学计划、课程大纲、教学安全方案）不能满足采购需求，不可行、不合理，不得分。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trHeight w:val="567" w:hRule="atLeast"/>
          <w:jc w:val="center"/>
        </w:trPr>
        <w:tc>
          <w:tcPr>
            <w:tcW w:w="759" w:type="dxa"/>
            <w:tcBorders>
              <w:top w:val="single" w:color="auto" w:sz="2" w:space="0"/>
              <w:left w:val="single" w:color="auto" w:sz="2" w:space="0"/>
              <w:right w:val="single" w:color="auto" w:sz="4" w:space="0"/>
            </w:tcBorders>
            <w:vAlign w:val="center"/>
          </w:tcPr>
          <w:p>
            <w:pPr>
              <w:pStyle w:val="7"/>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1291" w:type="dxa"/>
            <w:tcBorders>
              <w:top w:val="single" w:color="auto" w:sz="2" w:space="0"/>
              <w:left w:val="single" w:color="auto" w:sz="4"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auto"/>
                <w:sz w:val="24"/>
                <w:highlight w:val="none"/>
              </w:rPr>
            </w:pPr>
            <w:r>
              <w:rPr>
                <w:rFonts w:hint="eastAsia" w:ascii="宋体" w:hAnsi="宋体"/>
                <w:color w:val="auto"/>
                <w:sz w:val="24"/>
                <w:highlight w:val="none"/>
                <w:lang w:val="en-US" w:eastAsia="zh-CN"/>
              </w:rPr>
              <w:t>同类</w:t>
            </w:r>
            <w:r>
              <w:rPr>
                <w:rFonts w:hint="eastAsia" w:ascii="宋体" w:hAnsi="宋体"/>
                <w:color w:val="auto"/>
                <w:sz w:val="24"/>
                <w:highlight w:val="none"/>
              </w:rPr>
              <w:t>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highlight w:val="none"/>
                <w:lang w:val="en-US" w:eastAsia="zh-CN"/>
              </w:rPr>
            </w:pPr>
            <w:r>
              <w:rPr>
                <w:rFonts w:hint="eastAsia" w:ascii="宋体" w:hAnsi="宋体"/>
                <w:color w:val="auto"/>
                <w:sz w:val="24"/>
                <w:highlight w:val="none"/>
              </w:rPr>
              <w:t>业绩</w:t>
            </w:r>
          </w:p>
        </w:tc>
        <w:tc>
          <w:tcPr>
            <w:tcW w:w="786" w:type="dxa"/>
            <w:tcBorders>
              <w:top w:val="single" w:color="auto" w:sz="4" w:space="0"/>
              <w:left w:val="single" w:color="auto" w:sz="4"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highlight w:val="none"/>
                <w:lang w:val="en-US" w:eastAsia="zh-CN"/>
              </w:rPr>
            </w:pPr>
            <w:r>
              <w:rPr>
                <w:rFonts w:hint="eastAsia" w:ascii="宋体" w:hAnsi="宋体"/>
                <w:color w:val="auto"/>
                <w:sz w:val="24"/>
                <w:highlight w:val="none"/>
                <w:lang w:val="en-US" w:eastAsia="zh-CN"/>
              </w:rPr>
              <w:t>3分</w:t>
            </w:r>
          </w:p>
        </w:tc>
        <w:tc>
          <w:tcPr>
            <w:tcW w:w="5584" w:type="dxa"/>
            <w:tcBorders>
              <w:top w:val="single" w:color="auto" w:sz="4" w:space="0"/>
              <w:left w:val="single" w:color="auto" w:sz="4"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olor w:val="auto"/>
                <w:sz w:val="24"/>
                <w:highlight w:val="none"/>
              </w:rPr>
            </w:pPr>
            <w:r>
              <w:rPr>
                <w:rFonts w:hint="eastAsia" w:ascii="宋体" w:hAnsi="宋体"/>
                <w:color w:val="auto"/>
                <w:sz w:val="24"/>
                <w:highlight w:val="none"/>
              </w:rPr>
              <w:t>提供近</w:t>
            </w:r>
            <w:r>
              <w:rPr>
                <w:rFonts w:hint="eastAsia" w:ascii="宋体" w:hAnsi="宋体"/>
                <w:color w:val="auto"/>
                <w:sz w:val="24"/>
                <w:highlight w:val="none"/>
                <w:lang w:eastAsia="zh-CN"/>
              </w:rPr>
              <w:t>五</w:t>
            </w:r>
            <w:r>
              <w:rPr>
                <w:rFonts w:hint="eastAsia" w:ascii="宋体" w:hAnsi="宋体"/>
                <w:color w:val="auto"/>
                <w:sz w:val="24"/>
                <w:highlight w:val="none"/>
              </w:rPr>
              <w:t>年内（自201</w:t>
            </w:r>
            <w:r>
              <w:rPr>
                <w:rFonts w:hint="eastAsia" w:ascii="宋体" w:hAnsi="宋体"/>
                <w:color w:val="auto"/>
                <w:sz w:val="24"/>
                <w:highlight w:val="none"/>
                <w:lang w:val="en-US" w:eastAsia="zh-CN"/>
              </w:rPr>
              <w:t>5</w:t>
            </w:r>
            <w:r>
              <w:rPr>
                <w:rFonts w:hint="eastAsia" w:ascii="宋体" w:hAnsi="宋体"/>
                <w:color w:val="auto"/>
                <w:sz w:val="24"/>
                <w:highlight w:val="none"/>
              </w:rPr>
              <w:t>年1月1日以来，以合同签订时间为准）完成的同类项目业绩，每提供1项得</w:t>
            </w:r>
            <w:r>
              <w:rPr>
                <w:rFonts w:hint="eastAsia" w:ascii="宋体" w:hAnsi="宋体"/>
                <w:color w:val="auto"/>
                <w:sz w:val="24"/>
                <w:highlight w:val="none"/>
                <w:lang w:val="en-US" w:eastAsia="zh-CN"/>
              </w:rPr>
              <w:t>1.5</w:t>
            </w:r>
            <w:r>
              <w:rPr>
                <w:rFonts w:hint="eastAsia" w:ascii="宋体" w:hAnsi="宋体"/>
                <w:color w:val="auto"/>
                <w:sz w:val="24"/>
                <w:highlight w:val="none"/>
              </w:rPr>
              <w:t>分，最高为</w:t>
            </w:r>
            <w:r>
              <w:rPr>
                <w:rFonts w:hint="eastAsia" w:ascii="宋体" w:hAnsi="宋体"/>
                <w:color w:val="auto"/>
                <w:sz w:val="24"/>
                <w:highlight w:val="none"/>
                <w:lang w:val="en-US" w:eastAsia="zh-CN"/>
              </w:rPr>
              <w:t>3</w:t>
            </w:r>
            <w:r>
              <w:rPr>
                <w:rFonts w:hint="eastAsia" w:ascii="宋体" w:hAnsi="宋体"/>
                <w:color w:val="auto"/>
                <w:sz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olor w:val="auto"/>
                <w:sz w:val="24"/>
                <w:highlight w:val="none"/>
                <w:lang w:val="en-US" w:eastAsia="zh-CN"/>
              </w:rPr>
            </w:pPr>
            <w:r>
              <w:rPr>
                <w:rFonts w:hint="eastAsia" w:ascii="宋体" w:hAnsi="宋体"/>
                <w:b/>
                <w:bCs/>
                <w:color w:val="auto"/>
                <w:sz w:val="24"/>
                <w:highlight w:val="none"/>
              </w:rPr>
              <w:t>证明文件：</w:t>
            </w:r>
            <w:r>
              <w:rPr>
                <w:rFonts w:hint="eastAsia" w:ascii="宋体" w:hAnsi="宋体"/>
                <w:color w:val="auto"/>
                <w:sz w:val="24"/>
                <w:highlight w:val="none"/>
              </w:rPr>
              <w:t>提供合同关键页</w:t>
            </w:r>
            <w:r>
              <w:rPr>
                <w:rFonts w:hint="eastAsia" w:ascii="宋体" w:hAnsi="宋体"/>
                <w:color w:val="auto"/>
                <w:sz w:val="24"/>
                <w:highlight w:val="none"/>
                <w:lang w:eastAsia="zh-CN"/>
              </w:rPr>
              <w:t>（包括但不限于：合同名称页、合同主要内容页、合同签订日期页、合同双方签字盖章页）</w:t>
            </w:r>
            <w:r>
              <w:rPr>
                <w:rFonts w:hint="eastAsia" w:ascii="宋体" w:hAnsi="宋体"/>
                <w:color w:val="auto"/>
                <w:sz w:val="24"/>
                <w:highlight w:val="none"/>
              </w:rPr>
              <w:t>复印件加盖投标人公章，原件备查。如未按要求提供证明材料，或所提供的证明材料未能体现上述评分内容的，视为该证明材料无效。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trHeight w:val="567" w:hRule="atLeast"/>
          <w:jc w:val="center"/>
        </w:trPr>
        <w:tc>
          <w:tcPr>
            <w:tcW w:w="759" w:type="dxa"/>
            <w:tcBorders>
              <w:top w:val="single" w:color="auto" w:sz="2" w:space="0"/>
              <w:left w:val="single" w:color="auto" w:sz="2" w:space="0"/>
              <w:right w:val="single" w:color="auto" w:sz="4" w:space="0"/>
            </w:tcBorders>
            <w:vAlign w:val="center"/>
          </w:tcPr>
          <w:p>
            <w:pPr>
              <w:pStyle w:val="7"/>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1291" w:type="dxa"/>
            <w:tcBorders>
              <w:top w:val="single" w:color="auto" w:sz="2" w:space="0"/>
              <w:left w:val="single" w:color="auto" w:sz="4" w:space="0"/>
              <w:right w:val="single" w:color="auto" w:sz="2" w:space="0"/>
            </w:tcBorders>
            <w:vAlign w:val="center"/>
          </w:tcPr>
          <w:p>
            <w:pPr>
              <w:spacing w:line="360" w:lineRule="auto"/>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取得成绩及培养队员情况</w:t>
            </w:r>
          </w:p>
        </w:tc>
        <w:tc>
          <w:tcPr>
            <w:tcW w:w="786" w:type="dxa"/>
            <w:tcBorders>
              <w:top w:val="single" w:color="auto" w:sz="4" w:space="0"/>
              <w:left w:val="single" w:color="auto" w:sz="4" w:space="0"/>
              <w:right w:val="single" w:color="auto" w:sz="2" w:space="0"/>
            </w:tcBorders>
            <w:vAlign w:val="center"/>
          </w:tcPr>
          <w:p>
            <w:pPr>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40分</w:t>
            </w:r>
          </w:p>
        </w:tc>
        <w:tc>
          <w:tcPr>
            <w:tcW w:w="5584" w:type="dxa"/>
            <w:tcBorders>
              <w:top w:val="single" w:color="auto" w:sz="4" w:space="0"/>
              <w:left w:val="single" w:color="auto" w:sz="4" w:space="0"/>
              <w:right w:val="single" w:color="auto" w:sz="2" w:space="0"/>
            </w:tcBorders>
            <w:vAlign w:val="center"/>
          </w:tcPr>
          <w:p>
            <w:pPr>
              <w:wordWrap w:val="0"/>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团队带领足球队取得成绩情况：满分15分。</w:t>
            </w:r>
          </w:p>
          <w:p>
            <w:pPr>
              <w:wordWrap w:val="0"/>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获</w:t>
            </w:r>
            <w:r>
              <w:rPr>
                <w:rFonts w:hint="eastAsia" w:asciiTheme="minorEastAsia" w:hAnsiTheme="minorEastAsia" w:eastAsiaTheme="minorEastAsia" w:cstheme="minorEastAsia"/>
                <w:color w:val="auto"/>
                <w:sz w:val="24"/>
                <w:szCs w:val="24"/>
                <w:lang w:eastAsia="zh-CN"/>
              </w:rPr>
              <w:t>深圳</w:t>
            </w:r>
            <w:r>
              <w:rPr>
                <w:rFonts w:hint="eastAsia" w:asciiTheme="minorEastAsia" w:hAnsiTheme="minorEastAsia" w:eastAsiaTheme="minorEastAsia" w:cstheme="minorEastAsia"/>
                <w:color w:val="auto"/>
                <w:sz w:val="24"/>
                <w:szCs w:val="24"/>
              </w:rPr>
              <w:t>市</w:t>
            </w:r>
            <w:r>
              <w:rPr>
                <w:rFonts w:hint="eastAsia" w:asciiTheme="minorEastAsia" w:hAnsiTheme="minorEastAsia" w:eastAsiaTheme="minorEastAsia" w:cstheme="minorEastAsia"/>
                <w:color w:val="auto"/>
                <w:sz w:val="24"/>
                <w:szCs w:val="24"/>
                <w:lang w:eastAsia="zh-CN"/>
              </w:rPr>
              <w:t>市</w:t>
            </w:r>
            <w:r>
              <w:rPr>
                <w:rFonts w:hint="eastAsia" w:asciiTheme="minorEastAsia" w:hAnsiTheme="minorEastAsia" w:eastAsiaTheme="minorEastAsia" w:cstheme="minorEastAsia"/>
                <w:color w:val="auto"/>
                <w:sz w:val="24"/>
                <w:szCs w:val="24"/>
              </w:rPr>
              <w:t>级校园足球联赛成绩</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冠军10分，亚军8分，</w:t>
            </w:r>
            <w:r>
              <w:rPr>
                <w:rFonts w:hint="eastAsia" w:asciiTheme="minorEastAsia" w:hAnsiTheme="minorEastAsia" w:eastAsiaTheme="minorEastAsia" w:cstheme="minorEastAsia"/>
                <w:color w:val="auto"/>
                <w:sz w:val="24"/>
                <w:szCs w:val="24"/>
                <w:lang w:eastAsia="zh-CN"/>
              </w:rPr>
              <w:t>四强</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分，八强5分，满分</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0分</w:t>
            </w:r>
            <w:r>
              <w:rPr>
                <w:rFonts w:hint="eastAsia" w:asciiTheme="minorEastAsia" w:hAnsiTheme="minorEastAsia" w:eastAsiaTheme="minorEastAsia" w:cstheme="minorEastAsia"/>
                <w:color w:val="auto"/>
                <w:sz w:val="24"/>
                <w:szCs w:val="24"/>
                <w:lang w:eastAsia="zh-CN"/>
              </w:rPr>
              <w:t>；</w:t>
            </w:r>
          </w:p>
          <w:p>
            <w:pPr>
              <w:wordWrap w:val="0"/>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获</w:t>
            </w:r>
            <w:r>
              <w:rPr>
                <w:rFonts w:hint="eastAsia" w:asciiTheme="minorEastAsia" w:hAnsiTheme="minorEastAsia" w:eastAsiaTheme="minorEastAsia" w:cstheme="minorEastAsia"/>
                <w:color w:val="auto"/>
                <w:sz w:val="24"/>
                <w:szCs w:val="24"/>
                <w:lang w:eastAsia="zh-CN"/>
              </w:rPr>
              <w:t>深圳</w:t>
            </w:r>
            <w:r>
              <w:rPr>
                <w:rFonts w:hint="eastAsia" w:asciiTheme="minorEastAsia" w:hAnsiTheme="minorEastAsia" w:eastAsiaTheme="minorEastAsia" w:cstheme="minorEastAsia"/>
                <w:color w:val="auto"/>
                <w:sz w:val="24"/>
                <w:szCs w:val="24"/>
              </w:rPr>
              <w:t>市</w:t>
            </w:r>
            <w:r>
              <w:rPr>
                <w:rFonts w:hint="eastAsia" w:asciiTheme="minorEastAsia" w:hAnsiTheme="minorEastAsia" w:eastAsiaTheme="minorEastAsia" w:cstheme="minorEastAsia"/>
                <w:color w:val="auto"/>
                <w:sz w:val="24"/>
                <w:szCs w:val="24"/>
                <w:lang w:eastAsia="zh-CN"/>
              </w:rPr>
              <w:t>区</w:t>
            </w:r>
            <w:r>
              <w:rPr>
                <w:rFonts w:hint="eastAsia" w:asciiTheme="minorEastAsia" w:hAnsiTheme="minorEastAsia" w:eastAsiaTheme="minorEastAsia" w:cstheme="minorEastAsia"/>
                <w:color w:val="auto"/>
                <w:sz w:val="24"/>
                <w:szCs w:val="24"/>
              </w:rPr>
              <w:t>级校园足球联赛成绩</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冠军</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分，亚军</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eastAsia="zh-CN"/>
              </w:rPr>
              <w:t>四强</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分，八强</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eastAsia="zh-CN"/>
              </w:rPr>
              <w:t>；</w:t>
            </w:r>
          </w:p>
          <w:p>
            <w:pPr>
              <w:pStyle w:val="2"/>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证明文件：</w:t>
            </w:r>
            <w:r>
              <w:rPr>
                <w:rFonts w:hint="eastAsia" w:asciiTheme="minorEastAsia" w:hAnsiTheme="minorEastAsia" w:eastAsiaTheme="minorEastAsia" w:cstheme="minorEastAsia"/>
                <w:color w:val="auto"/>
                <w:sz w:val="24"/>
                <w:szCs w:val="24"/>
                <w:lang w:eastAsia="zh-CN"/>
              </w:rPr>
              <w:t>相关佐证材料或证明</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培养队员情况</w:t>
            </w:r>
            <w:r>
              <w:rPr>
                <w:rFonts w:hint="eastAsia" w:asciiTheme="minorEastAsia" w:hAnsiTheme="minorEastAsia" w:eastAsiaTheme="minorEastAsia" w:cstheme="minorEastAsia"/>
                <w:color w:val="auto"/>
                <w:sz w:val="24"/>
                <w:szCs w:val="24"/>
                <w:lang w:eastAsia="zh-CN"/>
              </w:rPr>
              <w:t>，满分</w:t>
            </w:r>
            <w:r>
              <w:rPr>
                <w:rFonts w:hint="eastAsia" w:asciiTheme="minorEastAsia" w:hAnsiTheme="minorEastAsia" w:eastAsiaTheme="minorEastAsia" w:cstheme="minorEastAsia"/>
                <w:color w:val="auto"/>
                <w:sz w:val="24"/>
                <w:szCs w:val="24"/>
                <w:lang w:val="en-US" w:eastAsia="zh-CN"/>
              </w:rPr>
              <w:t>25分。</w:t>
            </w:r>
          </w:p>
          <w:p>
            <w:pPr>
              <w:pStyle w:val="2"/>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培养队员被国家、省、市梯队选入情况（</w:t>
            </w:r>
            <w:r>
              <w:rPr>
                <w:rFonts w:hint="eastAsia" w:asciiTheme="minorEastAsia" w:hAnsiTheme="minorEastAsia" w:eastAsiaTheme="minorEastAsia" w:cstheme="minorEastAsia"/>
                <w:b w:val="0"/>
                <w:bCs w:val="0"/>
                <w:color w:val="auto"/>
                <w:sz w:val="24"/>
                <w:szCs w:val="24"/>
                <w:lang w:eastAsia="zh-CN"/>
              </w:rPr>
              <w:t>有队员</w:t>
            </w:r>
            <w:r>
              <w:rPr>
                <w:rFonts w:hint="eastAsia" w:asciiTheme="minorEastAsia" w:hAnsiTheme="minorEastAsia" w:eastAsiaTheme="minorEastAsia" w:cstheme="minorEastAsia"/>
                <w:b w:val="0"/>
                <w:bCs w:val="0"/>
                <w:color w:val="auto"/>
                <w:sz w:val="24"/>
                <w:szCs w:val="24"/>
              </w:rPr>
              <w:t>被国少选入，</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分；</w:t>
            </w:r>
            <w:r>
              <w:rPr>
                <w:rFonts w:hint="eastAsia" w:asciiTheme="minorEastAsia" w:hAnsiTheme="minorEastAsia" w:eastAsiaTheme="minorEastAsia" w:cstheme="minorEastAsia"/>
                <w:b w:val="0"/>
                <w:bCs w:val="0"/>
                <w:color w:val="auto"/>
                <w:sz w:val="24"/>
                <w:szCs w:val="24"/>
                <w:lang w:eastAsia="zh-CN"/>
              </w:rPr>
              <w:t>有队员</w:t>
            </w:r>
            <w:r>
              <w:rPr>
                <w:rFonts w:hint="eastAsia" w:asciiTheme="minorEastAsia" w:hAnsiTheme="minorEastAsia" w:eastAsiaTheme="minorEastAsia" w:cstheme="minorEastAsia"/>
                <w:b w:val="0"/>
                <w:bCs w:val="0"/>
                <w:color w:val="auto"/>
                <w:sz w:val="24"/>
                <w:szCs w:val="24"/>
              </w:rPr>
              <w:t>被省队选入，</w:t>
            </w:r>
            <w:r>
              <w:rPr>
                <w:rFonts w:hint="eastAsia" w:asciiTheme="minorEastAsia" w:hAnsiTheme="minorEastAsia" w:eastAsia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rPr>
              <w:t>分；</w:t>
            </w:r>
            <w:r>
              <w:rPr>
                <w:rFonts w:hint="eastAsia" w:asciiTheme="minorEastAsia" w:hAnsiTheme="minorEastAsia" w:eastAsiaTheme="minorEastAsia" w:cstheme="minorEastAsia"/>
                <w:b w:val="0"/>
                <w:bCs w:val="0"/>
                <w:color w:val="auto"/>
                <w:sz w:val="24"/>
                <w:szCs w:val="24"/>
                <w:lang w:eastAsia="zh-CN"/>
              </w:rPr>
              <w:t>有队员</w:t>
            </w:r>
            <w:r>
              <w:rPr>
                <w:rFonts w:hint="eastAsia" w:asciiTheme="minorEastAsia" w:hAnsiTheme="minorEastAsia" w:eastAsiaTheme="minorEastAsia" w:cstheme="minorEastAsia"/>
                <w:b w:val="0"/>
                <w:bCs w:val="0"/>
                <w:color w:val="auto"/>
                <w:sz w:val="24"/>
                <w:szCs w:val="24"/>
              </w:rPr>
              <w:t>被市队选入，</w:t>
            </w: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分，满分</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0分）。</w:t>
            </w:r>
          </w:p>
          <w:p>
            <w:pP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培养队员被职业足球俱乐部</w:t>
            </w:r>
            <w:r>
              <w:rPr>
                <w:rFonts w:hint="eastAsia" w:asciiTheme="minorEastAsia" w:hAnsiTheme="minorEastAsia" w:eastAsiaTheme="minorEastAsia" w:cstheme="minorEastAsia"/>
                <w:color w:val="auto"/>
                <w:sz w:val="24"/>
                <w:szCs w:val="24"/>
                <w:lang w:eastAsia="zh-CN"/>
              </w:rPr>
              <w:t>（含各级梯队）</w:t>
            </w:r>
            <w:r>
              <w:rPr>
                <w:rFonts w:hint="eastAsia" w:asciiTheme="minorEastAsia" w:hAnsiTheme="minorEastAsia" w:eastAsiaTheme="minorEastAsia" w:cstheme="minorEastAsia"/>
                <w:color w:val="auto"/>
                <w:sz w:val="24"/>
                <w:szCs w:val="24"/>
              </w:rPr>
              <w:t>选入情况</w:t>
            </w:r>
            <w:r>
              <w:rPr>
                <w:rFonts w:hint="eastAsia" w:asciiTheme="minorEastAsia" w:hAnsiTheme="minorEastAsia" w:eastAsiaTheme="minorEastAsia" w:cstheme="minorEastAsia"/>
                <w:color w:val="auto"/>
                <w:sz w:val="24"/>
                <w:szCs w:val="24"/>
                <w:lang w:eastAsia="zh-CN"/>
              </w:rPr>
              <w:t>：</w:t>
            </w:r>
          </w:p>
          <w:p>
            <w:pP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被欧洲五大联赛球队（含各级梯队）选入，得</w:t>
            </w:r>
            <w:r>
              <w:rPr>
                <w:rFonts w:hint="eastAsia" w:asciiTheme="minorEastAsia" w:hAnsiTheme="minorEastAsia" w:eastAsiaTheme="minorEastAsia" w:cstheme="minorEastAsia"/>
                <w:color w:val="auto"/>
                <w:sz w:val="24"/>
                <w:szCs w:val="24"/>
                <w:lang w:val="en-US" w:eastAsia="zh-CN"/>
              </w:rPr>
              <w:t>5分/人，中超联赛球队及以下级别联赛（含各级梯队）选入，得3分/人，</w:t>
            </w:r>
            <w:r>
              <w:rPr>
                <w:rFonts w:hint="eastAsia" w:asciiTheme="minorEastAsia" w:hAnsiTheme="minorEastAsia" w:eastAsiaTheme="minorEastAsia" w:cstheme="minorEastAsia"/>
                <w:color w:val="auto"/>
                <w:sz w:val="24"/>
                <w:szCs w:val="24"/>
              </w:rPr>
              <w:t>满分</w:t>
            </w: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eastAsia="zh-CN"/>
              </w:rPr>
              <w:t>。</w:t>
            </w:r>
          </w:p>
          <w:p>
            <w:pPr>
              <w:pStyle w:val="2"/>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证明文件：相关佐证材料或证明</w:t>
            </w:r>
          </w:p>
          <w:p>
            <w:pPr>
              <w:pStyle w:val="2"/>
              <w:rPr>
                <w:rFonts w:hint="eastAsia"/>
                <w:color w:val="auto"/>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trHeight w:val="567" w:hRule="atLeast"/>
          <w:jc w:val="center"/>
        </w:trPr>
        <w:tc>
          <w:tcPr>
            <w:tcW w:w="2050" w:type="dxa"/>
            <w:gridSpan w:val="2"/>
            <w:tcBorders>
              <w:top w:val="single" w:color="auto" w:sz="2" w:space="0"/>
              <w:left w:val="single" w:color="auto" w:sz="2" w:space="0"/>
              <w:bottom w:val="single" w:color="auto" w:sz="4" w:space="0"/>
              <w:right w:val="single" w:color="auto" w:sz="4" w:space="0"/>
            </w:tcBorders>
            <w:vAlign w:val="center"/>
          </w:tcPr>
          <w:p>
            <w:pPr>
              <w:pStyle w:val="8"/>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合计</w:t>
            </w:r>
          </w:p>
        </w:tc>
        <w:tc>
          <w:tcPr>
            <w:tcW w:w="786" w:type="dxa"/>
            <w:tcBorders>
              <w:top w:val="single" w:color="auto" w:sz="2" w:space="0"/>
              <w:left w:val="single" w:color="auto" w:sz="4" w:space="0"/>
              <w:right w:val="single" w:color="auto" w:sz="2" w:space="0"/>
            </w:tcBorders>
            <w:vAlign w:val="center"/>
          </w:tcPr>
          <w:p>
            <w:pPr>
              <w:pStyle w:val="7"/>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80</w:t>
            </w:r>
            <w:r>
              <w:rPr>
                <w:rFonts w:hint="eastAsia" w:ascii="宋体" w:hAnsi="宋体" w:cs="宋体"/>
                <w:b/>
                <w:bCs/>
                <w:color w:val="auto"/>
                <w:sz w:val="24"/>
                <w:highlight w:val="none"/>
              </w:rPr>
              <w:t>分</w:t>
            </w:r>
          </w:p>
        </w:tc>
        <w:tc>
          <w:tcPr>
            <w:tcW w:w="5584" w:type="dxa"/>
            <w:tcBorders>
              <w:top w:val="single" w:color="auto" w:sz="2" w:space="0"/>
              <w:left w:val="single" w:color="auto" w:sz="4" w:space="0"/>
              <w:right w:val="single" w:color="auto" w:sz="2" w:space="0"/>
            </w:tcBorders>
            <w:vAlign w:val="center"/>
          </w:tcPr>
          <w:p>
            <w:pPr>
              <w:pStyle w:val="8"/>
              <w:spacing w:line="360" w:lineRule="auto"/>
              <w:ind w:firstLine="482"/>
              <w:rPr>
                <w:rFonts w:hint="eastAsia" w:ascii="宋体" w:hAnsi="宋体" w:cs="宋体"/>
                <w:b/>
                <w:bCs/>
                <w:color w:val="auto"/>
                <w:sz w:val="24"/>
                <w:highlight w:val="none"/>
              </w:rPr>
            </w:pPr>
          </w:p>
        </w:tc>
      </w:tr>
    </w:tbl>
    <w:p>
      <w:pPr>
        <w:spacing w:line="360" w:lineRule="auto"/>
        <w:rPr>
          <w:rFonts w:hint="eastAsia"/>
          <w:b/>
          <w:color w:val="auto"/>
          <w:sz w:val="24"/>
        </w:rPr>
      </w:pPr>
      <w:r>
        <w:rPr>
          <w:rFonts w:hint="eastAsia"/>
          <w:color w:val="auto"/>
          <w:sz w:val="24"/>
        </w:rPr>
        <w:t>注：各评委按规定的范围内进行量化打分，并统计总分。</w:t>
      </w:r>
      <w:bookmarkEnd w:id="10"/>
    </w:p>
    <w:p>
      <w:pPr>
        <w:spacing w:line="360" w:lineRule="auto"/>
        <w:rPr>
          <w:rFonts w:hint="eastAsia"/>
          <w:b/>
          <w:color w:val="auto"/>
          <w:sz w:val="24"/>
        </w:rPr>
      </w:pPr>
      <w:r>
        <w:rPr>
          <w:rFonts w:hint="eastAsia"/>
          <w:b/>
          <w:color w:val="auto"/>
          <w:sz w:val="24"/>
        </w:rPr>
        <w:t>附</w:t>
      </w:r>
      <w:r>
        <w:rPr>
          <w:rFonts w:hint="eastAsia"/>
          <w:b/>
          <w:color w:val="auto"/>
          <w:sz w:val="24"/>
          <w:lang w:val="en-US" w:eastAsia="zh-CN"/>
        </w:rPr>
        <w:t>五</w:t>
      </w:r>
      <w:r>
        <w:rPr>
          <w:rFonts w:hint="eastAsia"/>
          <w:b/>
          <w:color w:val="auto"/>
          <w:sz w:val="24"/>
        </w:rPr>
        <w:t>：价格评审</w:t>
      </w:r>
    </w:p>
    <w:p>
      <w:pPr>
        <w:pStyle w:val="3"/>
        <w:numPr>
          <w:numId w:val="0"/>
        </w:numPr>
        <w:spacing w:line="360" w:lineRule="auto"/>
        <w:rPr>
          <w:rFonts w:hint="eastAsia" w:ascii="宋体" w:hAnsi="宋体" w:cs="宋体"/>
          <w:sz w:val="24"/>
          <w:highlight w:val="none"/>
          <w:lang w:val="en-US" w:eastAsia="zh-CN"/>
        </w:rPr>
      </w:pPr>
      <w:r>
        <w:rPr>
          <w:rFonts w:hint="eastAsia" w:ascii="宋体" w:hAnsi="宋体" w:cs="宋体"/>
          <w:sz w:val="24"/>
          <w:highlight w:val="none"/>
          <w:lang w:val="en-US" w:eastAsia="zh-CN"/>
        </w:rPr>
        <w:t>参照政府采购项目，采用综合评分法，价格计算采用得低价优先法，如：</w:t>
      </w:r>
    </w:p>
    <w:p>
      <w:pPr>
        <w:pStyle w:val="4"/>
        <w:rPr>
          <w:rFonts w:hint="default"/>
          <w:lang w:val="en-US" w:eastAsia="zh-CN"/>
        </w:rPr>
      </w:pPr>
      <w:r>
        <w:rPr>
          <w:rFonts w:hint="eastAsia" w:ascii="宋体" w:hAnsi="宋体" w:cs="宋体"/>
          <w:sz w:val="24"/>
          <w:highlight w:val="none"/>
          <w:lang w:val="en-US" w:eastAsia="zh-CN"/>
        </w:rPr>
        <w:t>所有投标单位投标报价中的最低价为评分基准价</w:t>
      </w:r>
    </w:p>
    <w:p>
      <w:pPr>
        <w:pStyle w:val="4"/>
        <w:rPr>
          <w:rFonts w:hint="eastAsia" w:ascii="宋体" w:hAnsi="宋体"/>
          <w:sz w:val="24"/>
          <w:highlight w:val="none"/>
          <w:lang w:val="en-US" w:eastAsia="zh-CN"/>
        </w:rPr>
      </w:pPr>
      <w:r>
        <w:rPr>
          <w:rFonts w:hint="eastAsia" w:ascii="宋体" w:hAnsi="宋体"/>
          <w:sz w:val="24"/>
          <w:highlight w:val="none"/>
        </w:rPr>
        <w:t>投标报价得分=（评分基准价/投标报价）×</w:t>
      </w:r>
      <w:r>
        <w:rPr>
          <w:rFonts w:hint="eastAsia" w:ascii="宋体" w:hAnsi="宋体"/>
          <w:sz w:val="24"/>
          <w:highlight w:val="none"/>
          <w:lang w:val="en-US" w:eastAsia="zh-CN"/>
        </w:rPr>
        <w:t>20</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rPr>
          <w:color w:val="auto"/>
        </w:rPr>
      </w:pPr>
    </w:p>
    <w:p>
      <w:pPr>
        <w:pStyle w:val="2"/>
        <w:spacing w:before="0" w:after="0" w:line="360" w:lineRule="auto"/>
        <w:jc w:val="center"/>
        <w:rPr>
          <w:rFonts w:ascii="宋体" w:hAnsi="宋体"/>
          <w:color w:val="auto"/>
          <w:sz w:val="24"/>
          <w:highlight w:val="none"/>
        </w:rPr>
      </w:pPr>
      <w:bookmarkStart w:id="11" w:name="_Toc518137929"/>
      <w:bookmarkStart w:id="12" w:name="_Toc11006"/>
      <w:bookmarkStart w:id="13" w:name="_Toc8623"/>
      <w:r>
        <w:rPr>
          <w:rFonts w:hint="eastAsia" w:ascii="黑体" w:hAnsi="黑体" w:eastAsia="黑体"/>
          <w:b w:val="0"/>
          <w:bCs w:val="0"/>
          <w:color w:val="auto"/>
          <w:sz w:val="32"/>
          <w:szCs w:val="32"/>
          <w:highlight w:val="none"/>
        </w:rPr>
        <w:t>投标明细报价表</w:t>
      </w:r>
      <w:bookmarkEnd w:id="11"/>
      <w:bookmarkEnd w:id="12"/>
      <w:bookmarkEnd w:id="13"/>
    </w:p>
    <w:tbl>
      <w:tblPr>
        <w:tblStyle w:val="6"/>
        <w:tblpPr w:leftFromText="180" w:rightFromText="180" w:vertAnchor="text" w:horzAnchor="page" w:tblpX="1012" w:tblpY="42"/>
        <w:tblW w:w="9359" w:type="dxa"/>
        <w:tblInd w:w="0" w:type="dxa"/>
        <w:tblLayout w:type="fixed"/>
        <w:tblCellMar>
          <w:top w:w="0" w:type="dxa"/>
          <w:left w:w="108" w:type="dxa"/>
          <w:bottom w:w="0" w:type="dxa"/>
          <w:right w:w="108" w:type="dxa"/>
        </w:tblCellMar>
      </w:tblPr>
      <w:tblGrid>
        <w:gridCol w:w="4550"/>
        <w:gridCol w:w="3615"/>
        <w:gridCol w:w="1194"/>
      </w:tblGrid>
      <w:tr>
        <w:tblPrEx>
          <w:tblLayout w:type="fixed"/>
          <w:tblCellMar>
            <w:top w:w="0" w:type="dxa"/>
            <w:left w:w="108" w:type="dxa"/>
            <w:bottom w:w="0" w:type="dxa"/>
            <w:right w:w="108" w:type="dxa"/>
          </w:tblCellMar>
        </w:tblPrEx>
        <w:trPr>
          <w:trHeight w:val="356" w:hRule="atLeast"/>
        </w:trPr>
        <w:tc>
          <w:tcPr>
            <w:tcW w:w="4550" w:type="dxa"/>
            <w:tcBorders>
              <w:top w:val="single" w:color="auto" w:sz="4" w:space="0"/>
              <w:left w:val="single" w:color="auto" w:sz="4" w:space="0"/>
              <w:bottom w:val="single" w:color="000000" w:sz="4" w:space="0"/>
              <w:right w:val="single" w:color="auto" w:sz="4" w:space="0"/>
            </w:tcBorders>
            <w:shd w:val="clear" w:color="auto" w:fill="BEBEBE" w:themeFill="background1" w:themeFillShade="BF"/>
            <w:vAlign w:val="top"/>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b/>
                <w:bCs w:val="0"/>
                <w:kern w:val="0"/>
                <w:sz w:val="24"/>
                <w:szCs w:val="24"/>
              </w:rPr>
            </w:pPr>
            <w:r>
              <w:rPr>
                <w:rFonts w:hint="eastAsia" w:ascii="宋体" w:hAnsi="宋体" w:eastAsia="宋体" w:cs="宋体"/>
                <w:b/>
                <w:bCs w:val="0"/>
                <w:color w:val="000000"/>
                <w:kern w:val="0"/>
                <w:sz w:val="24"/>
                <w:szCs w:val="24"/>
              </w:rPr>
              <w:t>费用支出项目</w:t>
            </w:r>
          </w:p>
        </w:tc>
        <w:tc>
          <w:tcPr>
            <w:tcW w:w="3615" w:type="dxa"/>
            <w:tcBorders>
              <w:top w:val="single" w:color="auto" w:sz="4" w:space="0"/>
              <w:left w:val="nil"/>
              <w:bottom w:val="single" w:color="auto" w:sz="4" w:space="0"/>
              <w:right w:val="single" w:color="auto" w:sz="4" w:space="0"/>
            </w:tcBorders>
            <w:shd w:val="clear" w:color="auto" w:fill="BEBEBE" w:themeFill="background1" w:themeFillShade="BF"/>
            <w:vAlign w:val="top"/>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b/>
                <w:bCs w:val="0"/>
                <w:kern w:val="0"/>
                <w:sz w:val="24"/>
                <w:szCs w:val="24"/>
              </w:rPr>
            </w:pPr>
            <w:r>
              <w:rPr>
                <w:rFonts w:hint="eastAsia" w:ascii="宋体" w:hAnsi="宋体" w:eastAsia="宋体" w:cs="宋体"/>
                <w:b/>
                <w:bCs w:val="0"/>
                <w:color w:val="000000"/>
                <w:kern w:val="0"/>
                <w:sz w:val="24"/>
                <w:szCs w:val="24"/>
              </w:rPr>
              <w:t>单价（元）</w:t>
            </w:r>
          </w:p>
        </w:tc>
        <w:tc>
          <w:tcPr>
            <w:tcW w:w="1194" w:type="dxa"/>
            <w:tcBorders>
              <w:top w:val="single" w:color="auto" w:sz="4" w:space="0"/>
              <w:left w:val="nil"/>
              <w:bottom w:val="single" w:color="auto" w:sz="4" w:space="0"/>
              <w:right w:val="single" w:color="auto" w:sz="4" w:space="0"/>
            </w:tcBorders>
            <w:shd w:val="clear" w:color="auto" w:fill="BEBEBE" w:themeFill="background1" w:themeFillShade="BF"/>
            <w:vAlign w:val="top"/>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b/>
                <w:bCs w:val="0"/>
                <w:kern w:val="0"/>
                <w:sz w:val="24"/>
                <w:szCs w:val="24"/>
              </w:rPr>
            </w:pPr>
            <w:r>
              <w:rPr>
                <w:rFonts w:hint="eastAsia" w:ascii="宋体" w:hAnsi="宋体" w:eastAsia="宋体" w:cs="宋体"/>
                <w:b/>
                <w:bCs w:val="0"/>
                <w:color w:val="000000"/>
                <w:kern w:val="0"/>
                <w:sz w:val="24"/>
                <w:szCs w:val="24"/>
              </w:rPr>
              <w:t>合计（元）</w:t>
            </w:r>
          </w:p>
        </w:tc>
      </w:tr>
      <w:tr>
        <w:tblPrEx>
          <w:tblLayout w:type="fixed"/>
          <w:tblCellMar>
            <w:top w:w="0" w:type="dxa"/>
            <w:left w:w="108" w:type="dxa"/>
            <w:bottom w:w="0" w:type="dxa"/>
            <w:right w:w="108" w:type="dxa"/>
          </w:tblCellMar>
        </w:tblPrEx>
        <w:trPr>
          <w:trHeight w:val="934" w:hRule="atLeast"/>
        </w:trPr>
        <w:tc>
          <w:tcPr>
            <w:tcW w:w="9359" w:type="dxa"/>
            <w:gridSpan w:val="3"/>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both"/>
              <w:textAlignment w:val="auto"/>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lang w:eastAsia="zh-CN"/>
              </w:rPr>
              <w:t>足球课程</w:t>
            </w:r>
            <w:r>
              <w:rPr>
                <w:rFonts w:hint="eastAsia" w:ascii="宋体" w:hAnsi="宋体" w:eastAsia="宋体" w:cs="宋体"/>
                <w:bCs/>
                <w:color w:val="000000"/>
                <w:kern w:val="0"/>
                <w:sz w:val="24"/>
                <w:szCs w:val="24"/>
              </w:rPr>
              <w:t>（</w:t>
            </w:r>
            <w:r>
              <w:rPr>
                <w:rFonts w:hint="eastAsia" w:ascii="宋体" w:hAnsi="宋体" w:eastAsia="宋体" w:cs="宋体"/>
                <w:bCs/>
                <w:color w:val="000000"/>
                <w:kern w:val="0"/>
                <w:sz w:val="24"/>
                <w:szCs w:val="24"/>
                <w:lang w:eastAsia="zh-CN"/>
              </w:rPr>
              <w:t>购买足球课程</w:t>
            </w:r>
            <w:r>
              <w:rPr>
                <w:rFonts w:hint="eastAsia" w:ascii="宋体" w:hAnsi="宋体" w:eastAsia="宋体" w:cs="宋体"/>
                <w:bCs/>
                <w:color w:val="000000"/>
                <w:kern w:val="0"/>
                <w:sz w:val="24"/>
                <w:szCs w:val="24"/>
              </w:rPr>
              <w:t>包含以下</w:t>
            </w:r>
            <w:r>
              <w:rPr>
                <w:rFonts w:hint="eastAsia" w:ascii="宋体" w:hAnsi="宋体" w:eastAsia="宋体" w:cs="宋体"/>
                <w:bCs/>
                <w:color w:val="000000"/>
                <w:kern w:val="0"/>
                <w:sz w:val="24"/>
                <w:szCs w:val="24"/>
                <w:lang w:val="en-US" w:eastAsia="zh-CN"/>
              </w:rPr>
              <w:t>A1、A2、B三</w:t>
            </w:r>
            <w:r>
              <w:rPr>
                <w:rFonts w:hint="eastAsia" w:ascii="宋体" w:hAnsi="宋体" w:eastAsia="宋体" w:cs="宋体"/>
                <w:bCs/>
                <w:color w:val="000000"/>
                <w:kern w:val="0"/>
                <w:sz w:val="24"/>
                <w:szCs w:val="24"/>
              </w:rPr>
              <w:t>项）</w:t>
            </w:r>
          </w:p>
        </w:tc>
      </w:tr>
      <w:tr>
        <w:tblPrEx>
          <w:tblLayout w:type="fixed"/>
          <w:tblCellMar>
            <w:top w:w="0" w:type="dxa"/>
            <w:left w:w="108" w:type="dxa"/>
            <w:bottom w:w="0" w:type="dxa"/>
            <w:right w:w="108" w:type="dxa"/>
          </w:tblCellMar>
        </w:tblPrEx>
        <w:trPr>
          <w:trHeight w:val="1879" w:hRule="atLeast"/>
        </w:trPr>
        <w:tc>
          <w:tcPr>
            <w:tcW w:w="4550" w:type="dxa"/>
            <w:tcBorders>
              <w:top w:val="nil"/>
              <w:left w:val="single" w:color="auto" w:sz="8" w:space="0"/>
              <w:bottom w:val="single" w:color="auto" w:sz="4" w:space="0"/>
              <w:right w:val="nil"/>
            </w:tcBorders>
            <w:vAlign w:val="center"/>
          </w:tcPr>
          <w:p>
            <w:pPr>
              <w:pStyle w:val="9"/>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A1：低段</w:t>
            </w:r>
            <w:r>
              <w:rPr>
                <w:rFonts w:hint="eastAsia" w:ascii="宋体" w:hAnsi="宋体" w:eastAsia="宋体" w:cs="宋体"/>
                <w:color w:val="000000"/>
                <w:kern w:val="0"/>
                <w:sz w:val="24"/>
                <w:szCs w:val="24"/>
              </w:rPr>
              <w:t>足球体育课</w:t>
            </w:r>
          </w:p>
          <w:p>
            <w:pPr>
              <w:keepNext w:val="0"/>
              <w:keepLines w:val="0"/>
              <w:pageBreakBefore w:val="0"/>
              <w:widowControl/>
              <w:kinsoku/>
              <w:wordWrap/>
              <w:overflowPunct/>
              <w:topLinePunct w:val="0"/>
              <w:autoSpaceDE/>
              <w:autoSpaceDN/>
              <w:bidi w:val="0"/>
              <w:adjustRightInd/>
              <w:snapToGrid/>
              <w:spacing w:afterAutospacing="0" w:line="360" w:lineRule="auto"/>
              <w:jc w:val="left"/>
              <w:textAlignment w:val="auto"/>
              <w:rPr>
                <w:rFonts w:hint="eastAsia" w:ascii="宋体" w:hAnsi="宋体" w:eastAsia="宋体" w:cs="宋体"/>
                <w:kern w:val="0"/>
                <w:sz w:val="24"/>
                <w:szCs w:val="24"/>
              </w:rPr>
            </w:pPr>
            <w:r>
              <w:rPr>
                <w:rFonts w:hint="eastAsia" w:ascii="宋体" w:hAnsi="宋体" w:eastAsia="宋体" w:cs="宋体"/>
                <w:color w:val="000000"/>
                <w:kern w:val="0"/>
                <w:sz w:val="24"/>
                <w:szCs w:val="24"/>
              </w:rPr>
              <w:t>（每周</w:t>
            </w:r>
            <w:r>
              <w:rPr>
                <w:rFonts w:hint="eastAsia" w:ascii="宋体" w:hAnsi="宋体" w:eastAsia="宋体" w:cs="宋体"/>
                <w:color w:val="000000"/>
                <w:kern w:val="0"/>
                <w:sz w:val="24"/>
                <w:szCs w:val="24"/>
                <w:lang w:val="en-US" w:eastAsia="zh-CN"/>
              </w:rPr>
              <w:t>30</w:t>
            </w:r>
            <w:r>
              <w:rPr>
                <w:rFonts w:hint="eastAsia" w:ascii="宋体" w:hAnsi="宋体" w:eastAsia="宋体" w:cs="宋体"/>
                <w:color w:val="000000"/>
                <w:kern w:val="0"/>
                <w:sz w:val="24"/>
                <w:szCs w:val="24"/>
              </w:rPr>
              <w:t>节，计</w:t>
            </w:r>
            <w:r>
              <w:rPr>
                <w:rFonts w:hint="eastAsia" w:ascii="宋体" w:hAnsi="宋体" w:eastAsia="宋体" w:cs="宋体"/>
                <w:color w:val="000000"/>
                <w:kern w:val="0"/>
                <w:sz w:val="24"/>
                <w:szCs w:val="24"/>
                <w:lang w:val="en-US" w:eastAsia="zh-CN"/>
              </w:rPr>
              <w:t>17</w:t>
            </w:r>
            <w:r>
              <w:rPr>
                <w:rFonts w:hint="eastAsia" w:ascii="宋体" w:hAnsi="宋体" w:eastAsia="宋体" w:cs="宋体"/>
                <w:color w:val="000000"/>
                <w:kern w:val="0"/>
                <w:sz w:val="24"/>
                <w:szCs w:val="24"/>
              </w:rPr>
              <w:t>周，合计</w:t>
            </w:r>
            <w:r>
              <w:rPr>
                <w:rFonts w:hint="eastAsia" w:ascii="宋体" w:hAnsi="宋体" w:eastAsia="宋体" w:cs="宋体"/>
                <w:color w:val="000000"/>
                <w:kern w:val="0"/>
                <w:sz w:val="24"/>
                <w:szCs w:val="24"/>
                <w:lang w:val="en-US" w:eastAsia="zh-CN"/>
              </w:rPr>
              <w:t>510</w:t>
            </w:r>
            <w:r>
              <w:rPr>
                <w:rFonts w:hint="eastAsia" w:ascii="宋体" w:hAnsi="宋体" w:eastAsia="宋体" w:cs="宋体"/>
                <w:color w:val="000000"/>
                <w:kern w:val="0"/>
                <w:sz w:val="24"/>
                <w:szCs w:val="24"/>
              </w:rPr>
              <w:t>节）</w:t>
            </w:r>
          </w:p>
        </w:tc>
        <w:tc>
          <w:tcPr>
            <w:tcW w:w="361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一年级：10节/周</w:t>
            </w:r>
            <w:r>
              <w:rPr>
                <w:rFonts w:hint="eastAsia" w:ascii="宋体" w:hAnsi="宋体" w:eastAsia="宋体" w:cs="宋体"/>
                <w:color w:val="000000"/>
                <w:kern w:val="0"/>
                <w:sz w:val="24"/>
                <w:szCs w:val="24"/>
                <w:lang w:eastAsia="zh-CN"/>
              </w:rPr>
              <w:t>，计</w:t>
            </w:r>
            <w:r>
              <w:rPr>
                <w:rFonts w:hint="eastAsia" w:ascii="宋体" w:hAnsi="宋体" w:eastAsia="宋体" w:cs="宋体"/>
                <w:color w:val="000000"/>
                <w:kern w:val="0"/>
                <w:sz w:val="24"/>
                <w:szCs w:val="24"/>
                <w:lang w:val="en-US" w:eastAsia="zh-CN"/>
              </w:rPr>
              <w:t>17</w:t>
            </w:r>
            <w:r>
              <w:rPr>
                <w:rFonts w:hint="eastAsia" w:ascii="宋体" w:hAnsi="宋体" w:eastAsia="宋体" w:cs="宋体"/>
                <w:color w:val="000000"/>
                <w:kern w:val="0"/>
                <w:sz w:val="24"/>
                <w:szCs w:val="24"/>
              </w:rPr>
              <w:t>/周</w:t>
            </w:r>
          </w:p>
          <w:p>
            <w:pPr>
              <w:keepNext w:val="0"/>
              <w:keepLines w:val="0"/>
              <w:pageBreakBefore w:val="0"/>
              <w:widowControl/>
              <w:kinsoku/>
              <w:wordWrap/>
              <w:overflowPunct/>
              <w:topLinePunct w:val="0"/>
              <w:autoSpaceDE/>
              <w:autoSpaceDN/>
              <w:bidi w:val="0"/>
              <w:adjustRightInd/>
              <w:snapToGrid/>
              <w:spacing w:afterAutospacing="0" w:line="360" w:lineRule="auto"/>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二年级</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10节/周</w:t>
            </w:r>
            <w:r>
              <w:rPr>
                <w:rFonts w:hint="eastAsia" w:ascii="宋体" w:hAnsi="宋体" w:eastAsia="宋体" w:cs="宋体"/>
                <w:color w:val="000000"/>
                <w:kern w:val="0"/>
                <w:sz w:val="24"/>
                <w:szCs w:val="24"/>
                <w:lang w:eastAsia="zh-CN"/>
              </w:rPr>
              <w:t>，计</w:t>
            </w:r>
            <w:r>
              <w:rPr>
                <w:rFonts w:hint="eastAsia" w:ascii="宋体" w:hAnsi="宋体" w:eastAsia="宋体" w:cs="宋体"/>
                <w:color w:val="000000"/>
                <w:kern w:val="0"/>
                <w:sz w:val="24"/>
                <w:szCs w:val="24"/>
                <w:lang w:val="en-US" w:eastAsia="zh-CN"/>
              </w:rPr>
              <w:t>17</w:t>
            </w:r>
            <w:r>
              <w:rPr>
                <w:rFonts w:hint="eastAsia" w:ascii="宋体" w:hAnsi="宋体" w:eastAsia="宋体" w:cs="宋体"/>
                <w:color w:val="000000"/>
                <w:kern w:val="0"/>
                <w:sz w:val="24"/>
                <w:szCs w:val="24"/>
              </w:rPr>
              <w:t>/周</w:t>
            </w:r>
          </w:p>
          <w:p>
            <w:pPr>
              <w:keepNext w:val="0"/>
              <w:keepLines w:val="0"/>
              <w:pageBreakBefore w:val="0"/>
              <w:widowControl/>
              <w:kinsoku/>
              <w:wordWrap/>
              <w:overflowPunct/>
              <w:topLinePunct w:val="0"/>
              <w:autoSpaceDE/>
              <w:autoSpaceDN/>
              <w:bidi w:val="0"/>
              <w:adjustRightInd/>
              <w:snapToGrid/>
              <w:spacing w:afterAutospacing="0" w:line="360" w:lineRule="auto"/>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三年级：10节/周</w:t>
            </w:r>
            <w:r>
              <w:rPr>
                <w:rFonts w:hint="eastAsia" w:ascii="宋体" w:hAnsi="宋体" w:eastAsia="宋体" w:cs="宋体"/>
                <w:color w:val="000000"/>
                <w:kern w:val="0"/>
                <w:sz w:val="24"/>
                <w:szCs w:val="24"/>
                <w:lang w:eastAsia="zh-CN"/>
              </w:rPr>
              <w:t>，计</w:t>
            </w:r>
            <w:r>
              <w:rPr>
                <w:rFonts w:hint="eastAsia" w:ascii="宋体" w:hAnsi="宋体" w:eastAsia="宋体" w:cs="宋体"/>
                <w:color w:val="000000"/>
                <w:kern w:val="0"/>
                <w:sz w:val="24"/>
                <w:szCs w:val="24"/>
                <w:lang w:val="en-US" w:eastAsia="zh-CN"/>
              </w:rPr>
              <w:t>17</w:t>
            </w:r>
            <w:r>
              <w:rPr>
                <w:rFonts w:hint="eastAsia" w:ascii="宋体" w:hAnsi="宋体" w:eastAsia="宋体" w:cs="宋体"/>
                <w:color w:val="000000"/>
                <w:kern w:val="0"/>
                <w:sz w:val="24"/>
                <w:szCs w:val="24"/>
              </w:rPr>
              <w:t>/周</w:t>
            </w:r>
          </w:p>
        </w:tc>
        <w:tc>
          <w:tcPr>
            <w:tcW w:w="11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360" w:lineRule="auto"/>
              <w:ind w:firstLine="480" w:firstLineChars="200"/>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元</w:t>
            </w:r>
          </w:p>
        </w:tc>
      </w:tr>
      <w:tr>
        <w:tblPrEx>
          <w:tblLayout w:type="fixed"/>
          <w:tblCellMar>
            <w:top w:w="0" w:type="dxa"/>
            <w:left w:w="108" w:type="dxa"/>
            <w:bottom w:w="0" w:type="dxa"/>
            <w:right w:w="108" w:type="dxa"/>
          </w:tblCellMar>
        </w:tblPrEx>
        <w:trPr>
          <w:trHeight w:val="1004" w:hRule="atLeast"/>
        </w:trPr>
        <w:tc>
          <w:tcPr>
            <w:tcW w:w="4550" w:type="dxa"/>
            <w:tcBorders>
              <w:top w:val="nil"/>
              <w:left w:val="single" w:color="auto" w:sz="8" w:space="0"/>
              <w:bottom w:val="single" w:color="auto" w:sz="4" w:space="0"/>
              <w:right w:val="nil"/>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Chars="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A2：中段梯队训练课</w:t>
            </w:r>
          </w:p>
          <w:p>
            <w:pPr>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Chars="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（每周7节，计1</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周，合计</w:t>
            </w:r>
            <w:r>
              <w:rPr>
                <w:rFonts w:hint="eastAsia" w:ascii="宋体" w:hAnsi="宋体" w:eastAsia="宋体" w:cs="宋体"/>
                <w:color w:val="000000"/>
                <w:kern w:val="0"/>
                <w:sz w:val="24"/>
                <w:szCs w:val="24"/>
                <w:lang w:val="en-US" w:eastAsia="zh-CN"/>
              </w:rPr>
              <w:t>119</w:t>
            </w:r>
            <w:r>
              <w:rPr>
                <w:rFonts w:hint="eastAsia" w:ascii="宋体" w:hAnsi="宋体" w:eastAsia="宋体" w:cs="宋体"/>
                <w:color w:val="000000"/>
                <w:kern w:val="0"/>
                <w:sz w:val="24"/>
                <w:szCs w:val="24"/>
              </w:rPr>
              <w:t>节）</w:t>
            </w:r>
          </w:p>
        </w:tc>
        <w:tc>
          <w:tcPr>
            <w:tcW w:w="361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四</w:t>
            </w:r>
            <w:r>
              <w:rPr>
                <w:rFonts w:hint="eastAsia" w:ascii="宋体" w:hAnsi="宋体" w:eastAsia="宋体" w:cs="宋体"/>
                <w:color w:val="000000"/>
                <w:kern w:val="0"/>
                <w:sz w:val="24"/>
                <w:szCs w:val="24"/>
              </w:rPr>
              <w:t>年级梯队：</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节/周</w:t>
            </w:r>
            <w:r>
              <w:rPr>
                <w:rFonts w:hint="eastAsia" w:ascii="宋体" w:hAnsi="宋体" w:eastAsia="宋体" w:cs="宋体"/>
                <w:color w:val="000000"/>
                <w:kern w:val="0"/>
                <w:sz w:val="24"/>
                <w:szCs w:val="24"/>
                <w:lang w:eastAsia="zh-CN"/>
              </w:rPr>
              <w:t>，计</w:t>
            </w:r>
            <w:r>
              <w:rPr>
                <w:rFonts w:hint="eastAsia" w:ascii="宋体" w:hAnsi="宋体" w:eastAsia="宋体" w:cs="宋体"/>
                <w:color w:val="000000"/>
                <w:kern w:val="0"/>
                <w:sz w:val="24"/>
                <w:szCs w:val="24"/>
                <w:lang w:val="en-US" w:eastAsia="zh-CN"/>
              </w:rPr>
              <w:t>17</w:t>
            </w:r>
            <w:r>
              <w:rPr>
                <w:rFonts w:hint="eastAsia" w:ascii="宋体" w:hAnsi="宋体" w:eastAsia="宋体" w:cs="宋体"/>
                <w:color w:val="000000"/>
                <w:kern w:val="0"/>
                <w:sz w:val="24"/>
                <w:szCs w:val="24"/>
              </w:rPr>
              <w:t>/周</w:t>
            </w:r>
          </w:p>
        </w:tc>
        <w:tc>
          <w:tcPr>
            <w:tcW w:w="11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元</w:t>
            </w:r>
          </w:p>
        </w:tc>
      </w:tr>
      <w:tr>
        <w:tblPrEx>
          <w:tblLayout w:type="fixed"/>
          <w:tblCellMar>
            <w:top w:w="0" w:type="dxa"/>
            <w:left w:w="108" w:type="dxa"/>
            <w:bottom w:w="0" w:type="dxa"/>
            <w:right w:w="108" w:type="dxa"/>
          </w:tblCellMar>
        </w:tblPrEx>
        <w:trPr>
          <w:trHeight w:val="1894" w:hRule="atLeast"/>
        </w:trPr>
        <w:tc>
          <w:tcPr>
            <w:tcW w:w="4550" w:type="dxa"/>
            <w:tcBorders>
              <w:top w:val="nil"/>
              <w:left w:val="single" w:color="auto" w:sz="8" w:space="0"/>
              <w:bottom w:val="single" w:color="auto" w:sz="4" w:space="0"/>
              <w:right w:val="nil"/>
            </w:tcBorders>
            <w:vAlign w:val="center"/>
          </w:tcPr>
          <w:p>
            <w:pPr>
              <w:pStyle w:val="9"/>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B：</w:t>
            </w:r>
            <w:r>
              <w:rPr>
                <w:rFonts w:hint="eastAsia" w:ascii="宋体" w:hAnsi="宋体" w:eastAsia="宋体" w:cs="宋体"/>
                <w:color w:val="000000"/>
                <w:kern w:val="0"/>
                <w:sz w:val="24"/>
                <w:szCs w:val="24"/>
                <w:lang w:eastAsia="zh-CN"/>
              </w:rPr>
              <w:t>高段</w:t>
            </w:r>
            <w:r>
              <w:rPr>
                <w:rFonts w:hint="eastAsia" w:ascii="宋体" w:hAnsi="宋体" w:eastAsia="宋体" w:cs="宋体"/>
                <w:color w:val="000000"/>
                <w:kern w:val="0"/>
                <w:sz w:val="24"/>
                <w:szCs w:val="24"/>
              </w:rPr>
              <w:t>足球梯队训练课</w:t>
            </w:r>
          </w:p>
          <w:p>
            <w:pPr>
              <w:pStyle w:val="9"/>
              <w:keepNext w:val="0"/>
              <w:keepLines w:val="0"/>
              <w:pageBreakBefore w:val="0"/>
              <w:widowControl/>
              <w:numPr>
                <w:ilvl w:val="0"/>
                <w:numId w:val="0"/>
              </w:numPr>
              <w:kinsoku/>
              <w:wordWrap/>
              <w:overflowPunct/>
              <w:topLinePunct w:val="0"/>
              <w:autoSpaceDE/>
              <w:autoSpaceDN/>
              <w:bidi w:val="0"/>
              <w:adjustRightInd/>
              <w:snapToGrid/>
              <w:spacing w:afterAutospacing="0" w:line="360" w:lineRule="auto"/>
              <w:ind w:leftChars="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（每周7节</w:t>
            </w:r>
            <w:r>
              <w:rPr>
                <w:rFonts w:hint="eastAsia" w:ascii="宋体" w:hAnsi="宋体" w:eastAsia="宋体" w:cs="宋体"/>
                <w:color w:val="000000"/>
                <w:kern w:val="0"/>
                <w:sz w:val="24"/>
                <w:szCs w:val="24"/>
                <w:lang w:val="en-US" w:eastAsia="zh-CN"/>
              </w:rPr>
              <w:t>/年级</w:t>
            </w:r>
            <w:r>
              <w:rPr>
                <w:rFonts w:hint="eastAsia" w:ascii="宋体" w:hAnsi="宋体" w:eastAsia="宋体" w:cs="宋体"/>
                <w:color w:val="000000"/>
                <w:kern w:val="0"/>
                <w:sz w:val="24"/>
                <w:szCs w:val="24"/>
              </w:rPr>
              <w:t>，计1</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周，合计</w:t>
            </w:r>
            <w:r>
              <w:rPr>
                <w:rFonts w:hint="eastAsia" w:ascii="宋体" w:hAnsi="宋体" w:eastAsia="宋体" w:cs="宋体"/>
                <w:color w:val="000000"/>
                <w:kern w:val="0"/>
                <w:sz w:val="24"/>
                <w:szCs w:val="24"/>
                <w:lang w:val="en-US" w:eastAsia="zh-CN"/>
              </w:rPr>
              <w:t>238</w:t>
            </w:r>
            <w:r>
              <w:rPr>
                <w:rFonts w:hint="eastAsia" w:ascii="宋体" w:hAnsi="宋体" w:eastAsia="宋体" w:cs="宋体"/>
                <w:color w:val="000000"/>
                <w:kern w:val="0"/>
                <w:sz w:val="24"/>
                <w:szCs w:val="24"/>
              </w:rPr>
              <w:t>节）</w:t>
            </w:r>
          </w:p>
        </w:tc>
        <w:tc>
          <w:tcPr>
            <w:tcW w:w="361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五年级梯队：</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节/周</w:t>
            </w:r>
            <w:r>
              <w:rPr>
                <w:rFonts w:hint="eastAsia" w:ascii="宋体" w:hAnsi="宋体" w:eastAsia="宋体" w:cs="宋体"/>
                <w:color w:val="000000"/>
                <w:kern w:val="0"/>
                <w:sz w:val="24"/>
                <w:szCs w:val="24"/>
                <w:lang w:eastAsia="zh-CN"/>
              </w:rPr>
              <w:t>，计</w:t>
            </w:r>
            <w:r>
              <w:rPr>
                <w:rFonts w:hint="eastAsia" w:ascii="宋体" w:hAnsi="宋体" w:eastAsia="宋体" w:cs="宋体"/>
                <w:color w:val="000000"/>
                <w:kern w:val="0"/>
                <w:sz w:val="24"/>
                <w:szCs w:val="24"/>
                <w:lang w:val="en-US" w:eastAsia="zh-CN"/>
              </w:rPr>
              <w:t>17</w:t>
            </w:r>
            <w:r>
              <w:rPr>
                <w:rFonts w:hint="eastAsia" w:ascii="宋体" w:hAnsi="宋体" w:eastAsia="宋体" w:cs="宋体"/>
                <w:color w:val="000000"/>
                <w:kern w:val="0"/>
                <w:sz w:val="24"/>
                <w:szCs w:val="24"/>
              </w:rPr>
              <w:t>/周</w:t>
            </w:r>
          </w:p>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六年级梯队：</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节/周</w:t>
            </w:r>
            <w:r>
              <w:rPr>
                <w:rFonts w:hint="eastAsia" w:ascii="宋体" w:hAnsi="宋体" w:eastAsia="宋体" w:cs="宋体"/>
                <w:color w:val="000000"/>
                <w:kern w:val="0"/>
                <w:sz w:val="24"/>
                <w:szCs w:val="24"/>
                <w:lang w:eastAsia="zh-CN"/>
              </w:rPr>
              <w:t>，计</w:t>
            </w:r>
            <w:r>
              <w:rPr>
                <w:rFonts w:hint="eastAsia" w:ascii="宋体" w:hAnsi="宋体" w:eastAsia="宋体" w:cs="宋体"/>
                <w:color w:val="000000"/>
                <w:kern w:val="0"/>
                <w:sz w:val="24"/>
                <w:szCs w:val="24"/>
                <w:lang w:val="en-US" w:eastAsia="zh-CN"/>
              </w:rPr>
              <w:t>17</w:t>
            </w:r>
            <w:r>
              <w:rPr>
                <w:rFonts w:hint="eastAsia" w:ascii="宋体" w:hAnsi="宋体" w:eastAsia="宋体" w:cs="宋体"/>
                <w:color w:val="000000"/>
                <w:kern w:val="0"/>
                <w:sz w:val="24"/>
                <w:szCs w:val="24"/>
              </w:rPr>
              <w:t>/周</w:t>
            </w:r>
          </w:p>
        </w:tc>
        <w:tc>
          <w:tcPr>
            <w:tcW w:w="11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元</w:t>
            </w:r>
          </w:p>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kern w:val="0"/>
                <w:sz w:val="24"/>
                <w:szCs w:val="24"/>
              </w:rPr>
            </w:pPr>
            <w:r>
              <w:rPr>
                <w:rFonts w:hint="eastAsia" w:ascii="宋体" w:hAnsi="宋体" w:eastAsia="宋体" w:cs="宋体"/>
                <w:color w:val="000000"/>
                <w:kern w:val="0"/>
                <w:sz w:val="24"/>
                <w:szCs w:val="24"/>
              </w:rPr>
              <w:t> </w:t>
            </w:r>
          </w:p>
        </w:tc>
      </w:tr>
      <w:tr>
        <w:tblPrEx>
          <w:tblLayout w:type="fixed"/>
          <w:tblCellMar>
            <w:top w:w="0" w:type="dxa"/>
            <w:left w:w="108" w:type="dxa"/>
            <w:bottom w:w="0" w:type="dxa"/>
            <w:right w:w="108" w:type="dxa"/>
          </w:tblCellMar>
        </w:tblPrEx>
        <w:trPr>
          <w:trHeight w:val="429" w:hRule="atLeast"/>
        </w:trPr>
        <w:tc>
          <w:tcPr>
            <w:tcW w:w="4550" w:type="dxa"/>
            <w:tcBorders>
              <w:top w:val="nil"/>
              <w:left w:val="single" w:color="auto" w:sz="8"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left"/>
              <w:textAlignment w:val="auto"/>
              <w:rPr>
                <w:rFonts w:hint="eastAsia" w:ascii="宋体" w:hAnsi="宋体" w:eastAsia="宋体" w:cs="宋体"/>
                <w:kern w:val="0"/>
                <w:sz w:val="24"/>
                <w:szCs w:val="24"/>
              </w:rPr>
            </w:pPr>
            <w:r>
              <w:rPr>
                <w:rFonts w:hint="eastAsia" w:ascii="宋体" w:hAnsi="宋体" w:eastAsia="宋体" w:cs="宋体"/>
                <w:color w:val="000000"/>
                <w:kern w:val="0"/>
                <w:sz w:val="24"/>
                <w:szCs w:val="24"/>
              </w:rPr>
              <w:t>A</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B</w:t>
            </w:r>
            <w:r>
              <w:rPr>
                <w:rFonts w:hint="eastAsia" w:ascii="宋体" w:hAnsi="宋体" w:eastAsia="宋体" w:cs="宋体"/>
                <w:color w:val="000000"/>
                <w:kern w:val="0"/>
                <w:sz w:val="24"/>
                <w:szCs w:val="24"/>
              </w:rPr>
              <w:t>项费用合计</w:t>
            </w:r>
          </w:p>
        </w:tc>
        <w:tc>
          <w:tcPr>
            <w:tcW w:w="4809"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元</w:t>
            </w:r>
          </w:p>
        </w:tc>
      </w:tr>
      <w:tr>
        <w:tblPrEx>
          <w:tblLayout w:type="fixed"/>
          <w:tblCellMar>
            <w:top w:w="0" w:type="dxa"/>
            <w:left w:w="108" w:type="dxa"/>
            <w:bottom w:w="0" w:type="dxa"/>
            <w:right w:w="108" w:type="dxa"/>
          </w:tblCellMar>
        </w:tblPrEx>
        <w:trPr>
          <w:trHeight w:val="1055" w:hRule="atLeast"/>
        </w:trPr>
        <w:tc>
          <w:tcPr>
            <w:tcW w:w="935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360" w:lineRule="auto"/>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备注：</w:t>
            </w:r>
          </w:p>
          <w:p>
            <w:pPr>
              <w:keepNext w:val="0"/>
              <w:keepLines w:val="0"/>
              <w:pageBreakBefore w:val="0"/>
              <w:widowControl/>
              <w:kinsoku/>
              <w:wordWrap/>
              <w:overflowPunct/>
              <w:topLinePunct w:val="0"/>
              <w:autoSpaceDE/>
              <w:autoSpaceDN/>
              <w:bidi w:val="0"/>
              <w:adjustRightInd/>
              <w:snapToGrid/>
              <w:spacing w:afterAutospacing="0" w:line="360" w:lineRule="auto"/>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中低段足球体育课及中段足球梯队训练课投标限价为人民币30万元（资金来源为2020年度教育费附加）；</w:t>
            </w:r>
          </w:p>
          <w:p>
            <w:pPr>
              <w:keepNext w:val="0"/>
              <w:keepLines w:val="0"/>
              <w:pageBreakBefore w:val="0"/>
              <w:widowControl/>
              <w:kinsoku/>
              <w:wordWrap/>
              <w:overflowPunct/>
              <w:topLinePunct w:val="0"/>
              <w:autoSpaceDE/>
              <w:autoSpaceDN/>
              <w:bidi w:val="0"/>
              <w:adjustRightInd/>
              <w:snapToGrid/>
              <w:spacing w:afterAutospacing="0" w:line="360" w:lineRule="auto"/>
              <w:jc w:val="both"/>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高段足球梯队训练课投标限价为人民币35万元（资金来源为2020年度“四点半”活动专项经费）。</w:t>
            </w:r>
          </w:p>
        </w:tc>
      </w:tr>
    </w:tbl>
    <w:p>
      <w:pPr>
        <w:spacing w:line="360" w:lineRule="auto"/>
        <w:ind w:left="600" w:hanging="600" w:hangingChars="250"/>
        <w:rPr>
          <w:rFonts w:ascii="宋体" w:hAnsi="宋体"/>
          <w:color w:val="auto"/>
          <w:sz w:val="24"/>
          <w:highlight w:val="none"/>
        </w:rPr>
      </w:pPr>
      <w:r>
        <w:rPr>
          <w:rFonts w:hint="eastAsia" w:ascii="宋体" w:hAnsi="宋体"/>
          <w:color w:val="auto"/>
          <w:sz w:val="24"/>
          <w:highlight w:val="none"/>
        </w:rPr>
        <w:t>注：</w:t>
      </w:r>
    </w:p>
    <w:p>
      <w:pPr>
        <w:spacing w:line="360" w:lineRule="auto"/>
        <w:rPr>
          <w:rFonts w:ascii="宋体" w:hAnsi="宋体"/>
          <w:color w:val="auto"/>
          <w:sz w:val="24"/>
          <w:highlight w:val="none"/>
        </w:rPr>
      </w:pPr>
      <w:r>
        <w:rPr>
          <w:rFonts w:hint="eastAsia" w:ascii="宋体" w:hAnsi="宋体"/>
          <w:color w:val="auto"/>
          <w:sz w:val="24"/>
          <w:highlight w:val="none"/>
        </w:rPr>
        <w:t>该表格式仅作参考，投标人的详细报价表格式可自定，此表中的总价应与“开标一览表”中的总价一致。</w:t>
      </w:r>
    </w:p>
    <w:p>
      <w:pPr>
        <w:rPr>
          <w:rFonts w:ascii="宋体" w:hAnsi="宋体"/>
          <w:color w:val="auto"/>
          <w:highlight w:val="none"/>
        </w:rPr>
      </w:pPr>
      <w:r>
        <w:rPr>
          <w:rFonts w:hint="eastAsia" w:ascii="宋体" w:hAnsi="宋体"/>
          <w:color w:val="auto"/>
          <w:highlight w:val="none"/>
        </w:rPr>
        <w:t xml:space="preserve"> </w:t>
      </w:r>
    </w:p>
    <w:p>
      <w:pPr>
        <w:spacing w:line="360" w:lineRule="auto"/>
        <w:rPr>
          <w:color w:val="auto"/>
          <w:sz w:val="24"/>
          <w:highlight w:val="none"/>
        </w:rPr>
      </w:pPr>
      <w:r>
        <w:rPr>
          <w:rFonts w:hint="eastAsia" w:ascii="宋体" w:hAnsi="宋体"/>
          <w:color w:val="auto"/>
          <w:sz w:val="24"/>
          <w:highlight w:val="none"/>
          <w:lang w:val="zh-CN"/>
        </w:rPr>
        <w:t>法定代表人（</w:t>
      </w:r>
      <w:r>
        <w:rPr>
          <w:rFonts w:hint="eastAsia" w:ascii="宋体" w:hAnsi="宋体"/>
          <w:color w:val="auto"/>
          <w:sz w:val="24"/>
          <w:highlight w:val="none"/>
        </w:rPr>
        <w:t>单位负责人</w:t>
      </w:r>
      <w:r>
        <w:rPr>
          <w:rFonts w:hint="eastAsia" w:ascii="宋体" w:hAnsi="宋体"/>
          <w:color w:val="auto"/>
          <w:sz w:val="24"/>
          <w:highlight w:val="none"/>
          <w:lang w:val="zh-CN"/>
        </w:rPr>
        <w:t>）或其授权代表（签字</w:t>
      </w:r>
      <w:r>
        <w:rPr>
          <w:rFonts w:hint="eastAsia" w:ascii="宋体" w:hAnsi="宋体"/>
          <w:color w:val="auto"/>
          <w:sz w:val="24"/>
          <w:highlight w:val="none"/>
        </w:rPr>
        <w:t>或盖章</w:t>
      </w:r>
      <w:r>
        <w:rPr>
          <w:rFonts w:hint="eastAsia" w:ascii="宋体" w:hAnsi="宋体"/>
          <w:color w:val="auto"/>
          <w:sz w:val="24"/>
          <w:highlight w:val="none"/>
          <w:lang w:val="zh-CN"/>
        </w:rPr>
        <w:t>）</w:t>
      </w:r>
      <w:r>
        <w:rPr>
          <w:rFonts w:hint="eastAsia"/>
          <w:color w:val="auto"/>
          <w:sz w:val="24"/>
          <w:highlight w:val="none"/>
        </w:rPr>
        <w:t xml:space="preserve">：                   </w:t>
      </w:r>
    </w:p>
    <w:p>
      <w:pPr>
        <w:spacing w:line="360" w:lineRule="auto"/>
        <w:rPr>
          <w:color w:val="auto"/>
          <w:sz w:val="24"/>
          <w:highlight w:val="none"/>
        </w:rPr>
      </w:pPr>
      <w:r>
        <w:rPr>
          <w:rFonts w:hint="eastAsia"/>
          <w:color w:val="auto"/>
          <w:sz w:val="24"/>
          <w:highlight w:val="none"/>
        </w:rPr>
        <w:t xml:space="preserve">投标人名称（盖章）：                        </w:t>
      </w:r>
    </w:p>
    <w:p>
      <w:pPr>
        <w:spacing w:line="360" w:lineRule="auto"/>
        <w:rPr>
          <w:color w:val="auto"/>
          <w:sz w:val="24"/>
          <w:highlight w:val="none"/>
        </w:rPr>
      </w:pPr>
      <w:r>
        <w:rPr>
          <w:rFonts w:hint="eastAsia"/>
          <w:color w:val="auto"/>
          <w:sz w:val="24"/>
          <w:highlight w:val="none"/>
        </w:rPr>
        <w:t>日期：   年   月   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DE2CF8"/>
    <w:multiLevelType w:val="singleLevel"/>
    <w:tmpl w:val="BEDE2CF8"/>
    <w:lvl w:ilvl="0" w:tentative="0">
      <w:start w:val="1"/>
      <w:numFmt w:val="decimal"/>
      <w:lvlText w:val="%1."/>
      <w:lvlJc w:val="left"/>
      <w:pPr>
        <w:ind w:left="425" w:hanging="425"/>
      </w:pPr>
      <w:rPr>
        <w:rFonts w:hint="default"/>
      </w:rPr>
    </w:lvl>
  </w:abstractNum>
  <w:abstractNum w:abstractNumId="1">
    <w:nsid w:val="00F48E74"/>
    <w:multiLevelType w:val="singleLevel"/>
    <w:tmpl w:val="00F48E74"/>
    <w:lvl w:ilvl="0" w:tentative="0">
      <w:start w:val="1"/>
      <w:numFmt w:val="decimal"/>
      <w:lvlText w:val="%1."/>
      <w:lvlJc w:val="left"/>
      <w:pPr>
        <w:ind w:left="425" w:hanging="425"/>
      </w:pPr>
      <w:rPr>
        <w:rFonts w:hint="default"/>
      </w:rPr>
    </w:lvl>
  </w:abstractNum>
  <w:abstractNum w:abstractNumId="2">
    <w:nsid w:val="38C155DF"/>
    <w:multiLevelType w:val="singleLevel"/>
    <w:tmpl w:val="38C155DF"/>
    <w:lvl w:ilvl="0" w:tentative="0">
      <w:start w:val="1"/>
      <w:numFmt w:val="chineseCounting"/>
      <w:suff w:val="nothing"/>
      <w:lvlText w:val="%1、"/>
      <w:lvlJc w:val="left"/>
      <w:pPr>
        <w:ind w:left="148" w:firstLine="420"/>
      </w:pPr>
      <w:rPr>
        <w:rFonts w:hint="eastAsia"/>
      </w:rPr>
    </w:lvl>
  </w:abstractNum>
  <w:abstractNum w:abstractNumId="3">
    <w:nsid w:val="653AA44A"/>
    <w:multiLevelType w:val="singleLevel"/>
    <w:tmpl w:val="653AA44A"/>
    <w:lvl w:ilvl="0" w:tentative="0">
      <w:start w:val="1"/>
      <w:numFmt w:val="chineseCounting"/>
      <w:suff w:val="nothing"/>
      <w:lvlText w:val="（%1）"/>
      <w:lvlJc w:val="left"/>
      <w:rPr>
        <w:rFonts w:hint="eastAsia"/>
      </w:rPr>
    </w:lvl>
  </w:abstractNum>
  <w:abstractNum w:abstractNumId="4">
    <w:nsid w:val="65A50ED9"/>
    <w:multiLevelType w:val="singleLevel"/>
    <w:tmpl w:val="65A50ED9"/>
    <w:lvl w:ilvl="0" w:tentative="0">
      <w:start w:val="1"/>
      <w:numFmt w:val="decimal"/>
      <w:lvlText w:val="%1."/>
      <w:lvlJc w:val="left"/>
      <w:pPr>
        <w:ind w:left="425" w:hanging="425"/>
      </w:pPr>
      <w:rPr>
        <w:rFonts w:hint="default"/>
      </w:rPr>
    </w:lvl>
  </w:abstractNum>
  <w:abstractNum w:abstractNumId="5">
    <w:nsid w:val="7395D898"/>
    <w:multiLevelType w:val="singleLevel"/>
    <w:tmpl w:val="7395D898"/>
    <w:lvl w:ilvl="0" w:tentative="0">
      <w:start w:val="1"/>
      <w:numFmt w:val="decimal"/>
      <w:lvlText w:val="%1."/>
      <w:lvlJc w:val="left"/>
      <w:pPr>
        <w:ind w:left="425" w:hanging="425"/>
      </w:pPr>
      <w:rPr>
        <w:rFont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D140C"/>
    <w:rsid w:val="0A55684E"/>
    <w:rsid w:val="0E94492F"/>
    <w:rsid w:val="121C11BB"/>
    <w:rsid w:val="156A48C6"/>
    <w:rsid w:val="165D110A"/>
    <w:rsid w:val="177E50E7"/>
    <w:rsid w:val="17A957C6"/>
    <w:rsid w:val="18381858"/>
    <w:rsid w:val="194A6494"/>
    <w:rsid w:val="1BB847E5"/>
    <w:rsid w:val="1C2A63F1"/>
    <w:rsid w:val="23977609"/>
    <w:rsid w:val="24737AA2"/>
    <w:rsid w:val="25C97B0D"/>
    <w:rsid w:val="284173D3"/>
    <w:rsid w:val="2E0A360E"/>
    <w:rsid w:val="2E3025AD"/>
    <w:rsid w:val="309811D3"/>
    <w:rsid w:val="378510FB"/>
    <w:rsid w:val="385D714A"/>
    <w:rsid w:val="3C4D140C"/>
    <w:rsid w:val="3CF100B4"/>
    <w:rsid w:val="3E42186D"/>
    <w:rsid w:val="3FD04D75"/>
    <w:rsid w:val="419B2E9C"/>
    <w:rsid w:val="43744769"/>
    <w:rsid w:val="45713C7F"/>
    <w:rsid w:val="4E280288"/>
    <w:rsid w:val="5B3D2C49"/>
    <w:rsid w:val="5F1A178B"/>
    <w:rsid w:val="61A10DB9"/>
    <w:rsid w:val="64805183"/>
    <w:rsid w:val="68BF10BE"/>
    <w:rsid w:val="6FA9229D"/>
    <w:rsid w:val="745C4494"/>
    <w:rsid w:val="7AD91CBF"/>
    <w:rsid w:val="7F470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next w:val="4"/>
    <w:uiPriority w:val="0"/>
    <w:pPr>
      <w:jc w:val="left"/>
    </w:pPr>
  </w:style>
  <w:style w:type="paragraph" w:styleId="4">
    <w:name w:val="toc 5"/>
    <w:basedOn w:val="1"/>
    <w:next w:val="1"/>
    <w:semiHidden/>
    <w:qFormat/>
    <w:uiPriority w:val="0"/>
    <w:pPr>
      <w:ind w:left="840"/>
      <w:jc w:val="left"/>
    </w:pPr>
    <w:rPr>
      <w:szCs w:val="21"/>
    </w:rPr>
  </w:style>
  <w:style w:type="paragraph" w:customStyle="1" w:styleId="7">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列出段落1"/>
    <w:basedOn w:val="1"/>
    <w:qFormat/>
    <w:uiPriority w:val="0"/>
    <w:pPr>
      <w:ind w:firstLine="420" w:firstLineChars="200"/>
    </w:pPr>
    <w:rPr>
      <w:kern w:val="0"/>
      <w:sz w:val="2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2020-08-21T06:32:00Z</dcterms:created>
  <dc:creator>ghsz</dc:creator>
  <cp:lastModifiedBy>Administrator</cp:lastModifiedBy>
  <cp:lastPrinted>2020-08-21T07:37:00Z</cp:lastPrinted>
  <dcterms:modified xsi:type="dcterms:W3CDTF">2020-08-25T09:00:43Z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